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ind w:firstLine="1928"/>
        <w:jc w:val="center"/>
        <w:pageBreakBefore w:val="0"/>
        <w:spacing w:line="360" w:lineRule="auto"/>
        <w:rPr>
          <w:rFonts w:hint="eastAsia" w:ascii="新宋体" w:hAnsi="新宋体" w:eastAsia="新宋体"/>
          <w:b/>
          <w:bCs/>
          <w:sz w:val="96"/>
          <w:highlight w:val="none"/>
        </w:rPr>
      </w:pPr>
      <w:r>
        <w:rPr>
          <w:rFonts w:hint="eastAsia" w:ascii="新宋体" w:hAnsi="新宋体" w:eastAsia="新宋体"/>
          <w:b/>
          <w:bCs/>
          <w:sz w:val="96"/>
          <w:highlight w:val="none"/>
        </w:rPr>
      </w:r>
      <w:r/>
    </w:p>
    <w:p>
      <w:pPr>
        <w:pStyle w:val="932"/>
        <w:ind w:firstLine="472"/>
        <w:jc w:val="center"/>
        <w:pageBreakBefore w:val="0"/>
        <w:spacing w:line="360" w:lineRule="auto"/>
        <w:rPr>
          <w:rFonts w:hint="eastAsia" w:ascii="新宋体" w:hAnsi="新宋体" w:eastAsia="新宋体"/>
          <w:b/>
          <w:bCs/>
          <w:sz w:val="96"/>
          <w:highlight w:val="none"/>
        </w:rPr>
      </w:pPr>
      <w:r>
        <w:rPr>
          <w:rFonts w:hint="eastAsia" w:ascii="新宋体" w:hAnsi="新宋体" w:eastAsia="新宋体"/>
          <w:b/>
          <w:bCs/>
          <w:sz w:val="84"/>
          <w:szCs w:val="84"/>
          <w:highlight w:val="none"/>
        </w:rPr>
        <w:t xml:space="preserve">竞争性磋商文件</w:t>
      </w:r>
      <w:r/>
    </w:p>
    <w:p>
      <w:pPr>
        <w:pStyle w:val="932"/>
        <w:ind w:firstLine="0"/>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（全流程电子化）</w:t>
      </w:r>
      <w:r/>
    </w:p>
    <w:p>
      <w:pPr>
        <w:pStyle w:val="932"/>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932"/>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932"/>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932"/>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932"/>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932"/>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932"/>
        <w:ind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项目名称：</w:t>
      </w:r>
      <w:r>
        <w:rPr>
          <w:rFonts w:hint="eastAsia" w:ascii="新宋体" w:hAnsi="新宋体" w:eastAsia="新宋体"/>
          <w:b/>
          <w:bCs/>
          <w:sz w:val="32"/>
          <w:szCs w:val="32"/>
          <w:highlight w:val="none"/>
          <w:lang w:eastAsia="zh-CN"/>
        </w:rPr>
        <w:t xml:space="preserve">泰州市网络安全监管服务2025</w:t>
      </w:r>
      <w:r/>
    </w:p>
    <w:p>
      <w:pPr>
        <w:pStyle w:val="932"/>
        <w:ind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项目编号：</w:t>
      </w:r>
      <w:r>
        <w:rPr>
          <w:rFonts w:hint="eastAsia" w:ascii="新宋体" w:hAnsi="新宋体" w:eastAsia="新宋体"/>
          <w:b/>
          <w:bCs/>
          <w:sz w:val="32"/>
          <w:szCs w:val="32"/>
          <w:highlight w:val="none"/>
          <w:lang w:eastAsia="zh-CN"/>
        </w:rPr>
        <w:t xml:space="preserve">JSZC-321200-HQGC-C2025-0063</w:t>
      </w:r>
      <w:r/>
    </w:p>
    <w:p>
      <w:pP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采 购 人：</w:t>
      </w:r>
      <w:r>
        <w:rPr>
          <w:rFonts w:hint="eastAsia" w:ascii="新宋体" w:hAnsi="新宋体" w:eastAsia="新宋体"/>
          <w:b/>
          <w:bCs/>
          <w:sz w:val="32"/>
          <w:szCs w:val="32"/>
          <w:highlight w:val="none"/>
          <w:lang w:eastAsia="zh-CN"/>
        </w:rPr>
        <w:t xml:space="preserve">中共泰州市委网络安全和信息化委员会办公室 </w:t>
      </w:r>
      <w:r/>
    </w:p>
    <w:p>
      <w:pPr>
        <w:pStyle w:val="911"/>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11"/>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11"/>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11"/>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采购代理机构：江苏华强工程投资管理咨询有限公司</w:t>
      </w:r>
      <w:r/>
    </w:p>
    <w:p>
      <w:pPr>
        <w:pStyle w:val="932"/>
        <w:ind w:firstLine="643"/>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2025年</w:t>
      </w:r>
      <w:r>
        <w:rPr>
          <w:rFonts w:hint="eastAsia" w:ascii="新宋体" w:hAnsi="新宋体" w:eastAsia="新宋体"/>
          <w:b/>
          <w:bCs/>
          <w:sz w:val="32"/>
          <w:szCs w:val="32"/>
          <w:highlight w:val="none"/>
          <w:lang w:val="en-US" w:eastAsia="zh-CN"/>
        </w:rPr>
        <w:t xml:space="preserve">11</w:t>
      </w:r>
      <w:r>
        <w:rPr>
          <w:rFonts w:hint="eastAsia" w:ascii="新宋体" w:hAnsi="新宋体" w:eastAsia="新宋体"/>
          <w:b/>
          <w:bCs/>
          <w:sz w:val="32"/>
          <w:szCs w:val="32"/>
          <w:highlight w:val="none"/>
        </w:rPr>
        <w:t xml:space="preserve">月</w:t>
      </w:r>
      <w:r/>
    </w:p>
    <w:p>
      <w:pPr>
        <w:pStyle w:val="932"/>
        <w:jc w:val="center"/>
        <w:pageBreakBefore w:val="0"/>
        <w:spacing w:line="360" w:lineRule="auto"/>
        <w:rPr>
          <w:rFonts w:hint="eastAsia" w:ascii="新宋体" w:hAnsi="新宋体" w:eastAsia="新宋体"/>
          <w:b/>
          <w:bCs/>
          <w:highlight w:val="none"/>
        </w:rPr>
        <w:sectPr>
          <w:headerReference w:type="default" r:id="rId9"/>
          <w:footerReference w:type="default" r:id="rId10"/>
          <w:footerReference w:type="first" r:id="rId11"/>
          <w:footnotePr/>
          <w:endnotePr/>
          <w:type w:val="nextPage"/>
          <w:pgSz w:w="11906" w:h="16838" w:orient="portrait"/>
          <w:pgMar w:top="1701" w:right="1134" w:bottom="1134" w:left="1134" w:header="851" w:footer="992" w:gutter="0"/>
          <w:cols w:num="1" w:sep="0" w:space="720" w:equalWidth="1"/>
          <w:docGrid w:linePitch="360"/>
        </w:sectPr>
      </w:pPr>
      <w:r>
        <w:rPr>
          <w:rFonts w:hint="eastAsia" w:ascii="新宋体" w:hAnsi="新宋体" w:eastAsia="新宋体"/>
          <w:b/>
          <w:bCs/>
          <w:highlight w:val="none"/>
        </w:rPr>
      </w:r>
      <w:r/>
    </w:p>
    <w:p>
      <w:pPr>
        <w:pStyle w:val="932"/>
        <w:jc w:val="center"/>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932"/>
        <w:jc w:val="center"/>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933"/>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highlight w:val="none"/>
          <w:lang w:val="zh-CN"/>
        </w:rPr>
      </w:pPr>
      <w:r>
        <w:rPr>
          <w:highlight w:val="none"/>
          <w:lang w:val="zh-CN"/>
        </w:rPr>
      </w:r>
      <w:r/>
    </w:p>
    <w:p>
      <w:pPr>
        <w:pStyle w:val="916"/>
        <w:pageBreakBefore w:val="0"/>
        <w:spacing w:line="360" w:lineRule="auto"/>
        <w:rPr>
          <w:rFonts w:hint="eastAsia" w:ascii="宋体" w:hAnsi="宋体" w:eastAsia="宋体"/>
          <w:caps w:val="0"/>
          <w:sz w:val="21"/>
          <w:szCs w:val="21"/>
          <w:highlight w:val="none"/>
        </w:rPr>
      </w:pPr>
      <w:r>
        <w:rPr>
          <w:rStyle w:val="928"/>
          <w:rFonts w:ascii="宋体" w:hAnsi="宋体"/>
          <w:color w:val="auto"/>
          <w:highlight w:val="none"/>
        </w:rPr>
        <w:fldChar w:fldCharType="begin"/>
      </w:r>
      <w:r>
        <w:rPr>
          <w:rStyle w:val="928"/>
          <w:rFonts w:ascii="宋体" w:hAnsi="宋体"/>
          <w:color w:val="auto"/>
          <w:highlight w:val="none"/>
        </w:rPr>
        <w:instrText xml:space="preserve"> TOC \o "1-1" \h \z \u </w:instrText>
      </w:r>
      <w:r>
        <w:rPr>
          <w:rStyle w:val="928"/>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16"/>
        <w:pageBreakBefore w:val="0"/>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7</w:t>
      </w:r>
      <w:r>
        <w:rPr>
          <w:rFonts w:hint="eastAsia" w:ascii="宋体" w:hAnsi="宋体" w:eastAsia="宋体"/>
          <w:caps w:val="0"/>
          <w:sz w:val="21"/>
          <w:szCs w:val="21"/>
          <w:highlight w:val="none"/>
        </w:rPr>
        <w:fldChar w:fldCharType="end"/>
      </w:r>
      <w:r/>
    </w:p>
    <w:p>
      <w:pPr>
        <w:pStyle w:val="916"/>
        <w:pageBreakBefore w:val="0"/>
        <w:spacing w:line="360" w:lineRule="auto"/>
        <w:rPr>
          <w:rFonts w:hint="eastAsia" w:ascii="宋体" w:hAnsi="宋体" w:eastAsia="宋体"/>
          <w:caps w:val="0"/>
          <w:sz w:val="21"/>
          <w:szCs w:val="21"/>
          <w:highlight w:val="none"/>
          <w:lang w:eastAsia="zh-CN"/>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 xml:space="preserve">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 xml:space="preserve">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1</w:t>
      </w:r>
      <w:r/>
    </w:p>
    <w:p>
      <w:pPr>
        <w:pStyle w:val="916"/>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 xml:space="preserve">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25</w:t>
      </w:r>
      <w:r/>
    </w:p>
    <w:p>
      <w:pPr>
        <w:pStyle w:val="916"/>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28</w:t>
      </w:r>
      <w:r/>
    </w:p>
    <w:p>
      <w:pPr>
        <w:pStyle w:val="916"/>
        <w:pageBreakBefore w:val="0"/>
        <w:spacing w:line="360" w:lineRule="auto"/>
        <w:rPr>
          <w:rStyle w:val="928"/>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4</w:t>
      </w:r>
      <w:r/>
    </w:p>
    <w:p>
      <w:pPr>
        <w:pStyle w:val="916"/>
        <w:pageBreakBefore w:val="0"/>
        <w:spacing w:line="360" w:lineRule="auto"/>
        <w:rPr>
          <w:rStyle w:val="928"/>
          <w:rFonts w:hint="eastAsia" w:ascii="宋体" w:hAnsi="宋体"/>
          <w:color w:val="auto"/>
          <w:highlight w:val="none"/>
        </w:rPr>
      </w:pPr>
      <w:r>
        <w:rPr>
          <w:rStyle w:val="928"/>
          <w:rFonts w:ascii="宋体" w:hAnsi="宋体"/>
          <w:color w:val="auto"/>
          <w:highlight w:val="none"/>
        </w:rPr>
        <w:fldChar w:fldCharType="end"/>
      </w:r>
      <w:r/>
    </w:p>
    <w:p>
      <w:pPr>
        <w:pStyle w:val="916"/>
        <w:pageBreakBefore w:val="0"/>
        <w:spacing w:line="360" w:lineRule="auto"/>
        <w:rPr>
          <w:rStyle w:val="928"/>
          <w:rFonts w:hint="eastAsia" w:ascii="宋体" w:hAnsi="宋体"/>
          <w:color w:val="auto"/>
          <w:highlight w:val="none"/>
        </w:rPr>
      </w:pPr>
      <w:r>
        <w:rPr>
          <w:rFonts w:hint="eastAsia" w:ascii="宋体" w:hAnsi="宋体"/>
          <w:color w:val="auto"/>
          <w:highlight w:val="none"/>
        </w:rPr>
      </w:r>
      <w:r/>
    </w:p>
    <w:p>
      <w:pPr>
        <w:pStyle w:val="916"/>
        <w:pageBreakBefore w:val="0"/>
        <w:spacing w:line="360" w:lineRule="auto"/>
        <w:rPr>
          <w:rStyle w:val="928"/>
          <w:rFonts w:hint="eastAsia" w:ascii="宋体" w:hAnsi="宋体"/>
          <w:color w:val="auto"/>
          <w:highlight w:val="none"/>
        </w:rPr>
      </w:pPr>
      <w:r>
        <w:rPr>
          <w:rFonts w:hint="eastAsia" w:ascii="宋体" w:hAnsi="宋体"/>
          <w:color w:val="auto"/>
          <w:highlight w:val="none"/>
        </w:rPr>
      </w:r>
      <w:r/>
    </w:p>
    <w:p>
      <w:pPr>
        <w:pStyle w:val="932"/>
        <w:ind w:firstLine="360"/>
        <w:jc w:val="center"/>
        <w:pageBreakBefore w:val="0"/>
        <w:spacing w:line="360" w:lineRule="auto"/>
        <w:rPr>
          <w:rStyle w:val="928"/>
          <w:rFonts w:hint="eastAsia" w:ascii="宋体" w:hAnsi="宋体"/>
          <w:caps/>
          <w:color w:val="auto"/>
          <w:sz w:val="18"/>
          <w:szCs w:val="28"/>
          <w:highlight w:val="none"/>
        </w:rPr>
        <w:sectPr>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900"/>
        <w:ind w:firstLine="422"/>
        <w:jc w:val="center"/>
        <w:pageBreakBefore w:val="0"/>
        <w:spacing w:line="360" w:lineRule="auto"/>
        <w:rPr>
          <w:rFonts w:hint="eastAsia" w:ascii="宋体" w:hAnsi="宋体" w:eastAsia="宋体"/>
          <w:b/>
          <w:sz w:val="21"/>
          <w:szCs w:val="21"/>
          <w:highlight w:val="none"/>
        </w:rPr>
      </w:pPr>
      <w:r/>
      <w:bookmarkStart w:id="0" w:name="_Toc86268900"/>
      <w:r>
        <w:rPr>
          <w:rFonts w:hint="eastAsia" w:ascii="宋体" w:hAnsi="宋体" w:eastAsia="宋体"/>
          <w:b/>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szCs w:val="21"/>
          <w:highlight w:val="none"/>
        </w:rPr>
      </w:pPr>
      <w:r/>
      <w:bookmarkStart w:id="1" w:name="_Toc35393629"/>
      <w:r/>
      <w:bookmarkStart w:id="2" w:name="_Toc28359012"/>
      <w:r/>
      <w:bookmarkStart w:id="3" w:name="_Toc35393798"/>
      <w:r/>
      <w:bookmarkStart w:id="4" w:name="_Toc28359089"/>
      <w:r/>
      <w:bookmarkStart w:id="5" w:name="_Toc513029209"/>
      <w:r/>
      <w:bookmarkStart w:id="6" w:name="_Toc61149549"/>
      <w:r/>
      <w:bookmarkStart w:id="7" w:name="_Toc14577347"/>
      <w:r>
        <w:rPr>
          <w:rFonts w:hint="eastAsia" w:ascii="宋体" w:hAnsi="宋体" w:cs="仿宋_GB2312"/>
          <w:b/>
          <w:bCs/>
          <w:szCs w:val="21"/>
          <w:highlight w:val="none"/>
        </w:rPr>
        <w:t xml:space="preserve">项目概况</w:t>
      </w:r>
      <w:r/>
    </w:p>
    <w:p>
      <w:pPr>
        <w:ind w:firstLine="420"/>
        <w:pageBreakBefore w:val="0"/>
        <w:spacing w:line="360" w:lineRule="auto"/>
        <w:rPr>
          <w:rFonts w:hint="eastAsia" w:ascii="宋体" w:hAnsi="宋体" w:cs="仿宋_GB2312"/>
          <w:szCs w:val="21"/>
          <w:highlight w:val="none"/>
        </w:rPr>
      </w:pPr>
      <w:r>
        <w:rPr>
          <w:rFonts w:hint="eastAsia" w:ascii="宋体" w:hAnsi="宋体" w:cs="仿宋_GB2312"/>
          <w:szCs w:val="21"/>
          <w:highlight w:val="none"/>
          <w:u w:val="single"/>
          <w:lang w:eastAsia="zh-CN"/>
        </w:rPr>
        <w:t xml:space="preserve">泰州市网络安全监管服务2025</w:t>
      </w:r>
      <w:r>
        <w:rPr>
          <w:rFonts w:hint="eastAsia" w:ascii="宋体" w:hAnsi="宋体" w:cs="仿宋_GB2312"/>
          <w:szCs w:val="21"/>
          <w:highlight w:val="none"/>
        </w:rPr>
        <w:t xml:space="preserve">的潜在供应商应在</w:t>
      </w:r>
      <w:r>
        <w:rPr>
          <w:rFonts w:hint="eastAsia" w:ascii="宋体" w:hAnsi="宋体" w:cs="仿宋_GB2312"/>
          <w:b/>
          <w:bCs/>
          <w:szCs w:val="21"/>
          <w:highlight w:val="none"/>
          <w:u w:val="single"/>
        </w:rPr>
        <w:t xml:space="preserve">江苏政府采购网</w:t>
      </w:r>
      <w:r>
        <w:rPr>
          <w:rFonts w:hint="eastAsia" w:ascii="宋体" w:hAnsi="宋体" w:cs="仿宋_GB2312"/>
          <w:szCs w:val="21"/>
          <w:highlight w:val="none"/>
        </w:rPr>
        <w:t xml:space="preserve">获取采购文件，并于2025年</w:t>
      </w:r>
      <w:r>
        <w:rPr>
          <w:rFonts w:hint="eastAsia" w:ascii="宋体" w:hAnsi="宋体" w:cs="仿宋_GB2312"/>
          <w:szCs w:val="21"/>
          <w:highlight w:val="none"/>
          <w:lang w:val="en-US" w:eastAsia="zh-CN"/>
        </w:rPr>
        <w:t xml:space="preserve">12</w:t>
      </w:r>
      <w:r>
        <w:rPr>
          <w:rFonts w:hint="eastAsia" w:ascii="宋体" w:hAnsi="宋体" w:cs="仿宋_GB2312"/>
          <w:szCs w:val="21"/>
          <w:highlight w:val="none"/>
        </w:rPr>
        <w:t xml:space="preserve">月</w:t>
      </w:r>
      <w:r>
        <w:rPr>
          <w:rFonts w:hint="eastAsia" w:ascii="宋体" w:hAnsi="宋体" w:cs="仿宋_GB2312"/>
          <w:szCs w:val="21"/>
          <w:highlight w:val="none"/>
          <w:lang w:val="en-US" w:eastAsia="zh-CN"/>
        </w:rPr>
        <w:t xml:space="preserve">8</w:t>
      </w:r>
      <w:r>
        <w:rPr>
          <w:rFonts w:hint="eastAsia" w:ascii="宋体" w:hAnsi="宋体"/>
          <w:szCs w:val="21"/>
          <w:highlight w:val="none"/>
        </w:rPr>
        <w:t xml:space="preserve">日</w:t>
      </w:r>
      <w:r>
        <w:rPr>
          <w:rFonts w:hint="eastAsia" w:ascii="宋体" w:hAnsi="宋体"/>
          <w:szCs w:val="21"/>
          <w:highlight w:val="none"/>
          <w:lang w:val="en-US" w:eastAsia="zh-CN"/>
        </w:rPr>
        <w:t xml:space="preserve">9</w:t>
      </w:r>
      <w:r>
        <w:rPr>
          <w:rFonts w:hint="eastAsia" w:ascii="宋体" w:hAnsi="宋体" w:cs="仿宋_GB2312"/>
          <w:szCs w:val="21"/>
          <w:highlight w:val="none"/>
        </w:rPr>
        <w:t xml:space="preserve">点</w:t>
      </w:r>
      <w:r>
        <w:rPr>
          <w:rFonts w:hint="eastAsia" w:ascii="宋体" w:hAnsi="宋体" w:cs="仿宋_GB2312"/>
          <w:szCs w:val="21"/>
          <w:highlight w:val="none"/>
          <w:lang w:val="en-US" w:eastAsia="zh-CN"/>
        </w:rPr>
        <w:t xml:space="preserve">3</w:t>
      </w:r>
      <w:r>
        <w:rPr>
          <w:rFonts w:hint="eastAsia" w:ascii="宋体" w:hAnsi="宋体" w:cs="仿宋_GB2312"/>
          <w:szCs w:val="21"/>
          <w:highlight w:val="none"/>
        </w:rPr>
        <w:t xml:space="preserve">0分（北京时间）前提交响应文件。</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szCs w:val="21"/>
          <w:highlight w:val="none"/>
          <w:lang w:eastAsia="zh-CN"/>
        </w:rPr>
      </w:pPr>
      <w:r/>
      <w:bookmarkStart w:id="8" w:name="_Toc28359090"/>
      <w:r/>
      <w:bookmarkStart w:id="9" w:name="_Toc35393799"/>
      <w:r/>
      <w:bookmarkStart w:id="10" w:name="_Toc35393630"/>
      <w:r/>
      <w:bookmarkStart w:id="11" w:name="_Toc28359013"/>
      <w:r>
        <w:rPr>
          <w:rFonts w:hint="eastAsia" w:ascii="宋体" w:hAnsi="宋体" w:cs="宋体"/>
          <w:b/>
          <w:bCs/>
          <w:szCs w:val="21"/>
          <w:highlight w:val="none"/>
        </w:rPr>
        <w:t xml:space="preserve">项目编号：</w:t>
      </w:r>
      <w:r>
        <w:rPr>
          <w:rFonts w:hint="eastAsia" w:ascii="宋体" w:hAnsi="宋体" w:cs="宋体"/>
          <w:szCs w:val="21"/>
          <w:highlight w:val="none"/>
          <w:lang w:eastAsia="zh-CN"/>
        </w:rPr>
        <w:t xml:space="preserve">JSZC-321200-HQGC-C2025-0063</w:t>
      </w:r>
      <w:r/>
    </w:p>
    <w:p>
      <w:pPr>
        <w:ind w:firstLine="422"/>
        <w:pageBreakBefore w:val="0"/>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项目名称：</w:t>
      </w:r>
      <w:r>
        <w:rPr>
          <w:rFonts w:hint="eastAsia" w:ascii="宋体" w:hAnsi="宋体" w:cs="宋体"/>
          <w:szCs w:val="21"/>
          <w:highlight w:val="none"/>
          <w:lang w:eastAsia="zh-CN"/>
        </w:rPr>
        <w:t xml:space="preserve">泰州市网络安全监管服务2025</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采购方式：</w:t>
      </w:r>
      <w:r>
        <w:rPr>
          <w:rFonts w:hint="eastAsia" w:ascii="宋体" w:hAnsi="宋体" w:cs="宋体"/>
          <w:szCs w:val="21"/>
          <w:highlight w:val="none"/>
        </w:rPr>
        <w:t xml:space="preserve">竞争性磋商 </w:t>
      </w:r>
      <w:r/>
    </w:p>
    <w:p>
      <w:pPr>
        <w:ind w:firstLine="422"/>
        <w:pageBreakBefore w:val="0"/>
        <w:spacing w:line="360" w:lineRule="auto"/>
        <w:rPr>
          <w:rFonts w:hint="eastAsia" w:ascii="宋体" w:hAnsi="宋体" w:cs="宋体"/>
          <w:szCs w:val="21"/>
          <w:highlight w:val="none"/>
          <w:lang w:eastAsia="zh-CN"/>
        </w:rPr>
      </w:pPr>
      <w:r>
        <w:rPr>
          <w:rFonts w:hint="eastAsia" w:ascii="宋体" w:hAnsi="宋体" w:cs="宋体"/>
          <w:b/>
          <w:bCs/>
          <w:szCs w:val="21"/>
          <w:highlight w:val="none"/>
        </w:rPr>
        <w:t xml:space="preserve">预算金额：</w:t>
      </w:r>
      <w:r>
        <w:rPr>
          <w:rFonts w:hint="eastAsia" w:ascii="宋体" w:hAnsi="宋体" w:cs="宋体"/>
          <w:szCs w:val="21"/>
          <w:highlight w:val="none"/>
          <w:lang w:val="en-US" w:eastAsia="zh-CN"/>
        </w:rPr>
        <w:t xml:space="preserve">130</w:t>
      </w:r>
      <w:r>
        <w:rPr>
          <w:rFonts w:hint="eastAsia" w:ascii="宋体" w:hAnsi="宋体" w:cs="宋体"/>
          <w:szCs w:val="21"/>
          <w:highlight w:val="none"/>
          <w:lang w:eastAsia="zh-CN"/>
        </w:rPr>
        <w:t xml:space="preserve">万元人民币</w:t>
      </w:r>
      <w:r/>
    </w:p>
    <w:p>
      <w:pPr>
        <w:ind w:firstLine="420"/>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最高限价：</w:t>
      </w:r>
      <w:r>
        <w:rPr>
          <w:rFonts w:hint="eastAsia" w:ascii="宋体" w:hAnsi="宋体" w:cs="宋体"/>
          <w:szCs w:val="21"/>
          <w:highlight w:val="none"/>
          <w:lang w:eastAsia="zh-CN"/>
        </w:rPr>
        <w:t xml:space="preserve">总</w:t>
      </w:r>
      <w:r>
        <w:rPr>
          <w:rFonts w:hint="eastAsia" w:ascii="宋体" w:hAnsi="宋体" w:cs="宋体"/>
          <w:szCs w:val="21"/>
          <w:highlight w:val="none"/>
          <w:lang w:val="en-US" w:eastAsia="zh-CN"/>
        </w:rPr>
        <w:t xml:space="preserve">价130万元人民币；超过最高限价按无效响应处理。 </w:t>
      </w:r>
      <w:r/>
    </w:p>
    <w:p>
      <w:pPr>
        <w:ind w:left="210" w:firstLine="211"/>
        <w:pageBreakBefore w:val="0"/>
        <w:spacing w:line="360" w:lineRule="auto"/>
        <w:rPr>
          <w:rFonts w:hint="eastAsia" w:ascii="宋体" w:hAnsi="宋体" w:cs="宋体"/>
          <w:highlight w:val="none"/>
        </w:rPr>
      </w:pPr>
      <w:r>
        <w:rPr>
          <w:rFonts w:hint="eastAsia" w:ascii="宋体" w:hAnsi="宋体" w:cs="宋体"/>
          <w:b/>
          <w:bCs/>
          <w:szCs w:val="21"/>
          <w:highlight w:val="none"/>
        </w:rPr>
        <w:t xml:space="preserve">采购需求：</w:t>
      </w:r>
      <w:r>
        <w:rPr>
          <w:rFonts w:hint="eastAsia" w:ascii="宋体" w:hAnsi="宋体" w:cs="宋体"/>
          <w:szCs w:val="21"/>
          <w:highlight w:val="none"/>
          <w:lang w:val="en-US" w:eastAsia="zh-CN"/>
        </w:rPr>
        <w:t xml:space="preserve">本项目拟采购全</w:t>
      </w:r>
      <w:r>
        <w:rPr>
          <w:rFonts w:hint="eastAsia" w:ascii="宋体" w:hAnsi="宋体" w:cs="宋体"/>
          <w:szCs w:val="21"/>
          <w:highlight w:val="none"/>
          <w:lang w:eastAsia="zh-CN"/>
        </w:rPr>
        <w:t xml:space="preserve">市网络安全监管服务</w:t>
      </w:r>
      <w:r>
        <w:rPr>
          <w:rFonts w:hint="eastAsia" w:ascii="宋体" w:hAnsi="宋体" w:cs="宋体"/>
          <w:szCs w:val="21"/>
          <w:highlight w:val="none"/>
          <w:lang w:val="en-US" w:eastAsia="zh-CN"/>
        </w:rPr>
        <w:t xml:space="preserve">，服务内容包含但不限于资产探测服务、安全监测服务、态势感知服务、通报处置服务、数据</w:t>
      </w:r>
      <w:r>
        <w:rPr>
          <w:rFonts w:hint="eastAsia" w:ascii="宋体" w:hAnsi="宋体" w:eastAsia="宋体" w:cs="宋体"/>
          <w:szCs w:val="21"/>
          <w:highlight w:val="none"/>
          <w:lang w:val="en-US" w:eastAsia="zh-CN"/>
        </w:rPr>
        <w:t xml:space="preserve">安全服务、应急演练服务、</w:t>
      </w:r>
      <w:r>
        <w:rPr>
          <w:rFonts w:hint="default" w:ascii="宋体" w:hAnsi="宋体" w:eastAsia="宋体" w:cs="宋体"/>
          <w:szCs w:val="21"/>
          <w:highlight w:val="none"/>
          <w:lang w:eastAsia="zh-CN"/>
        </w:rPr>
        <w:t xml:space="preserve">网安行动服务</w:t>
      </w:r>
      <w:r>
        <w:rPr>
          <w:rFonts w:hint="eastAsia" w:ascii="宋体" w:hAnsi="宋体" w:eastAsia="宋体" w:cs="宋体"/>
          <w:szCs w:val="21"/>
          <w:highlight w:val="none"/>
          <w:lang w:eastAsia="zh-CN"/>
        </w:rPr>
        <w:t xml:space="preserve">、</w:t>
      </w:r>
      <w:r>
        <w:rPr>
          <w:rFonts w:hint="default" w:ascii="宋体" w:hAnsi="宋体" w:eastAsia="宋体" w:cs="宋体"/>
          <w:szCs w:val="21"/>
          <w:highlight w:val="none"/>
          <w:lang w:eastAsia="zh-CN"/>
        </w:rPr>
        <w:t xml:space="preserve">数据安全风险评估服务</w:t>
      </w:r>
      <w:r>
        <w:rPr>
          <w:rFonts w:hint="eastAsia" w:ascii="宋体" w:hAnsi="宋体" w:eastAsia="宋体" w:cs="宋体"/>
          <w:szCs w:val="21"/>
          <w:highlight w:val="none"/>
          <w:lang w:eastAsia="zh-CN"/>
        </w:rPr>
        <w:t xml:space="preserve">、</w:t>
      </w:r>
      <w:r>
        <w:rPr>
          <w:rFonts w:hint="default" w:ascii="宋体" w:hAnsi="宋体" w:eastAsia="宋体" w:cs="宋体"/>
          <w:szCs w:val="21"/>
          <w:highlight w:val="none"/>
          <w:lang w:eastAsia="zh-CN"/>
        </w:rPr>
        <w:t xml:space="preserve">人员驻场服务</w:t>
      </w:r>
      <w:r>
        <w:rPr>
          <w:rFonts w:hint="eastAsia" w:ascii="宋体" w:hAnsi="宋体" w:eastAsia="宋体" w:cs="宋体"/>
          <w:szCs w:val="21"/>
          <w:highlight w:val="none"/>
          <w:lang w:val="en-US" w:eastAsia="zh-CN"/>
        </w:rPr>
        <w:t xml:space="preserve">等。具体内容见磋商</w:t>
      </w:r>
      <w:r>
        <w:rPr>
          <w:rFonts w:hint="eastAsia" w:ascii="宋体" w:hAnsi="宋体" w:cs="宋体"/>
          <w:szCs w:val="21"/>
          <w:highlight w:val="none"/>
          <w:lang w:val="en-US" w:eastAsia="zh-CN"/>
        </w:rPr>
        <w:t xml:space="preserve">文件第四章 项目需求。</w:t>
      </w:r>
      <w:r/>
    </w:p>
    <w:p>
      <w:pPr>
        <w:ind w:firstLine="422"/>
        <w:pageBreakBefore w:val="0"/>
        <w:spacing w:line="360" w:lineRule="auto"/>
        <w:rPr>
          <w:rFonts w:hint="eastAsia" w:ascii="宋体" w:hAnsi="宋体" w:eastAsia="宋体" w:cs="宋体"/>
          <w:b w:val="0"/>
          <w:bCs w:val="0"/>
          <w:color w:val="ff0000"/>
          <w:szCs w:val="21"/>
          <w:highlight w:val="none"/>
          <w:lang w:eastAsia="zh-CN"/>
        </w:rPr>
        <w:outlineLvl w:val="2"/>
      </w:pPr>
      <w:r>
        <w:rPr>
          <w:rFonts w:hint="eastAsia" w:ascii="宋体" w:hAnsi="宋体" w:cs="宋体"/>
          <w:b/>
          <w:bCs/>
          <w:szCs w:val="21"/>
          <w:highlight w:val="none"/>
        </w:rPr>
        <w:t xml:space="preserve">合同履行期限：</w:t>
      </w:r>
      <w:r>
        <w:rPr>
          <w:rFonts w:hint="eastAsia" w:ascii="宋体" w:hAnsi="宋体" w:cs="宋体"/>
          <w:b w:val="0"/>
          <w:bCs w:val="0"/>
          <w:szCs w:val="21"/>
          <w:highlight w:val="none"/>
          <w:lang w:eastAsia="zh-CN"/>
        </w:rPr>
        <w:t xml:space="preserve">自合同签订之日起一年。</w:t>
      </w:r>
      <w:r/>
    </w:p>
    <w:p>
      <w:pPr>
        <w:ind w:firstLine="42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本项目是否接受联合体投标：</w:t>
      </w:r>
      <w:r>
        <w:rPr>
          <w:rFonts w:hint="eastAsia" w:ascii="宋体" w:hAnsi="宋体" w:cs="宋体"/>
          <w:b/>
          <w:bCs/>
          <w:szCs w:val="21"/>
          <w:highlight w:val="none"/>
          <w:lang w:val="en-US" w:eastAsia="zh-CN"/>
        </w:rPr>
        <w:t xml:space="preserve">是</w:t>
      </w:r>
      <w:r>
        <w:rPr>
          <w:rFonts w:hint="eastAsia" w:ascii="宋体" w:hAnsi="宋体" w:cs="宋体"/>
          <w:b/>
          <w:bCs/>
          <w:szCs w:val="21"/>
          <w:highlight w:val="none"/>
        </w:rPr>
        <w:t xml:space="preserve">。</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highlight w:val="none"/>
        </w:rPr>
      </w:pPr>
      <w:r/>
      <w:bookmarkStart w:id="12" w:name="_Toc28359091"/>
      <w:r/>
      <w:bookmarkStart w:id="13" w:name="_Toc35393800"/>
      <w:r/>
      <w:bookmarkStart w:id="14" w:name="_Toc35393631"/>
      <w:r/>
      <w:bookmarkStart w:id="15" w:name="_Toc28359014"/>
      <w:r>
        <w:rPr>
          <w:rFonts w:hint="eastAsia" w:ascii="宋体" w:hAnsi="宋体" w:cs="宋体"/>
          <w:highlight w:val="none"/>
        </w:rPr>
        <w:t xml:space="preserve">1.满足《中华人民共和国政府采购法》第二十二条的规定：</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1.1</w:t>
      </w:r>
      <w:r>
        <w:rPr>
          <w:rFonts w:ascii="宋体" w:hAnsi="宋体" w:cs="宋体"/>
          <w:highlight w:val="none"/>
        </w:rPr>
        <w:t xml:space="preserve">具有独立承担民事责任的能力；</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1.2</w:t>
      </w:r>
      <w:r>
        <w:rPr>
          <w:rFonts w:ascii="宋体" w:hAnsi="宋体" w:cs="宋体"/>
          <w:highlight w:val="none"/>
        </w:rPr>
        <w:t xml:space="preserve">具有良好的商业信誉和健全的财务会计制度；</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1.3具</w:t>
      </w:r>
      <w:r>
        <w:rPr>
          <w:rFonts w:ascii="宋体" w:hAnsi="宋体" w:cs="宋体"/>
          <w:highlight w:val="none"/>
        </w:rPr>
        <w:t xml:space="preserve">有依法缴纳税收和社会保障资金的良好记录；</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1.4</w:t>
      </w:r>
      <w:r>
        <w:rPr>
          <w:rFonts w:ascii="宋体" w:hAnsi="宋体" w:cs="宋体"/>
          <w:highlight w:val="none"/>
        </w:rPr>
        <w:t xml:space="preserve">具</w:t>
      </w:r>
      <w:r>
        <w:rPr>
          <w:rFonts w:hint="eastAsia" w:ascii="宋体" w:hAnsi="宋体" w:cs="宋体"/>
          <w:highlight w:val="none"/>
        </w:rPr>
        <w:t xml:space="preserve">备</w:t>
      </w:r>
      <w:r>
        <w:rPr>
          <w:rFonts w:ascii="宋体" w:hAnsi="宋体" w:cs="宋体"/>
          <w:highlight w:val="none"/>
        </w:rPr>
        <w:t xml:space="preserve">履行合同</w:t>
      </w:r>
      <w:r>
        <w:rPr>
          <w:rFonts w:hint="eastAsia" w:ascii="宋体" w:hAnsi="宋体" w:cs="宋体"/>
          <w:highlight w:val="none"/>
        </w:rPr>
        <w:t xml:space="preserve">所必需的</w:t>
      </w:r>
      <w:r>
        <w:rPr>
          <w:rFonts w:ascii="宋体" w:hAnsi="宋体" w:cs="宋体"/>
          <w:highlight w:val="none"/>
        </w:rPr>
        <w:t xml:space="preserve">设备和专业技术能力；</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1.5</w:t>
      </w:r>
      <w:r>
        <w:rPr>
          <w:rFonts w:ascii="宋体" w:hAnsi="宋体" w:cs="宋体"/>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1.6</w:t>
      </w:r>
      <w:r>
        <w:rPr>
          <w:rFonts w:ascii="宋体" w:hAnsi="宋体" w:cs="宋体"/>
          <w:highlight w:val="none"/>
        </w:rPr>
        <w:t xml:space="preserve">法律、行政法规规定的其他条件。</w:t>
      </w:r>
      <w:r/>
    </w:p>
    <w:p>
      <w:pPr>
        <w:contextualSpacing/>
        <w:ind w:firstLine="480"/>
        <w:pageBreakBefore w:val="0"/>
        <w:spacing w:line="360" w:lineRule="auto"/>
        <w:rPr>
          <w:rFonts w:hint="eastAsia" w:ascii="宋体" w:hAnsi="宋体" w:cs="宋体"/>
          <w:b/>
          <w:bCs/>
          <w:color w:val="auto"/>
          <w:szCs w:val="21"/>
          <w:highlight w:val="none"/>
        </w:rPr>
      </w:pPr>
      <w:r>
        <w:rPr>
          <w:rFonts w:hint="eastAsia" w:ascii="宋体" w:hAnsi="宋体" w:cs="宋体"/>
          <w:highlight w:val="none"/>
        </w:rPr>
        <w:t xml:space="preserve">2.落实政府采购政策需满足的资格要求：</w:t>
      </w:r>
      <w:r>
        <w:rPr>
          <w:rFonts w:hint="eastAsia" w:ascii="宋体" w:hAnsi="宋体" w:eastAsia="宋体" w:cs="宋体"/>
          <w:b/>
          <w:bCs/>
          <w:color w:val="auto"/>
          <w:sz w:val="21"/>
          <w:szCs w:val="21"/>
          <w:highlight w:val="none"/>
        </w:rPr>
        <w:t xml:space="preserve">本项目属于</w:t>
      </w:r>
      <w:r>
        <w:rPr>
          <w:rFonts w:hint="eastAsia" w:ascii="宋体" w:hAnsi="宋体" w:cs="宋体"/>
          <w:b/>
          <w:bCs/>
          <w:color w:val="auto"/>
          <w:sz w:val="21"/>
          <w:szCs w:val="21"/>
          <w:highlight w:val="none"/>
          <w:lang w:eastAsia="zh-CN"/>
        </w:rPr>
        <w:t xml:space="preserve">信息传输业</w:t>
      </w:r>
      <w:r>
        <w:rPr>
          <w:rFonts w:hint="eastAsia" w:ascii="宋体" w:hAnsi="宋体" w:eastAsia="宋体" w:cs="宋体"/>
          <w:b/>
          <w:bCs/>
          <w:color w:val="auto"/>
          <w:sz w:val="21"/>
          <w:szCs w:val="21"/>
          <w:highlight w:val="none"/>
        </w:rPr>
        <w:t xml:space="preserve">，</w:t>
      </w:r>
      <w:r>
        <w:rPr>
          <w:rFonts w:hint="eastAsia" w:ascii="宋体" w:hAnsi="宋体" w:cs="宋体"/>
          <w:b/>
          <w:bCs/>
          <w:color w:val="auto"/>
          <w:szCs w:val="21"/>
          <w:highlight w:val="none"/>
        </w:rPr>
        <w:t xml:space="preserve">不专门面向中小微企业。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ind w:firstLine="420"/>
        <w:pageBreakBefore w:val="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3.本项目的特定资格要求：</w:t>
      </w:r>
      <w:r>
        <w:rPr>
          <w:rFonts w:hint="eastAsia" w:ascii="宋体" w:hAnsi="宋体" w:cs="宋体"/>
          <w:bCs/>
          <w:szCs w:val="21"/>
          <w:highlight w:val="none"/>
          <w:lang w:val="en-US" w:eastAsia="zh-CN"/>
        </w:rPr>
        <w:t xml:space="preserve">无。</w:t>
      </w:r>
      <w:r/>
    </w:p>
    <w:p>
      <w:pPr>
        <w:ind w:left="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4.拒绝下述供应商参加本次采购活动：</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ascii="宋体" w:hAnsi="宋体" w:cs="宋体"/>
          <w:bCs/>
          <w:szCs w:val="21"/>
          <w:highlight w:val="none"/>
        </w:rPr>
      </w:pPr>
      <w:r/>
      <w:bookmarkStart w:id="16" w:name="_Toc35393801"/>
      <w:r/>
      <w:bookmarkStart w:id="17" w:name="_Toc28359092"/>
      <w:r/>
      <w:bookmarkStart w:id="18" w:name="_Toc28359015"/>
      <w:r/>
      <w:bookmarkStart w:id="19" w:name="_Toc35393632"/>
      <w:r>
        <w:rPr>
          <w:rFonts w:hint="eastAsia" w:ascii="宋体" w:hAnsi="宋体" w:cs="宋体"/>
          <w:bCs/>
          <w:szCs w:val="21"/>
          <w:highlight w:val="none"/>
        </w:rPr>
        <w:t xml:space="preserve">1.获取时间：自公告发布之日起5个工作日。</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3.获取方式：本项目采用网上注册登记方式。</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3.1潜在供应商访问电子招标响应交易平台的网络地址和方法：</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pageBreakBefore w:val="0"/>
        <w:spacing w:line="360" w:lineRule="auto"/>
        <w:tabs>
          <w:tab w:val="left" w:pos="900" w:leader="none"/>
        </w:tabs>
        <w:rPr>
          <w:rFonts w:hint="eastAsia" w:ascii="宋体" w:hAnsi="宋体" w:cs="宋体"/>
          <w:bCs/>
          <w:szCs w:val="21"/>
          <w:highlight w:val="none"/>
          <w:lang w:eastAsia="en-US"/>
        </w:rPr>
      </w:pPr>
      <w:r>
        <w:rPr>
          <w:rFonts w:hint="eastAsia" w:ascii="宋体" w:hAnsi="宋体" w:cs="宋体"/>
          <w:bCs/>
          <w:szCs w:val="21"/>
          <w:highlight w:val="none"/>
          <w:lang w:eastAsia="en-US"/>
        </w:rPr>
        <w:t xml:space="preserve">3.2潜在供应商访问“苏采云”系统的网络地址和方法</w:t>
      </w:r>
      <w:r>
        <w:rPr>
          <w:rFonts w:hint="eastAsia" w:ascii="宋体" w:hAnsi="宋体" w:cs="宋体"/>
          <w:bCs/>
          <w:szCs w:val="21"/>
          <w:highlight w:val="none"/>
        </w:rPr>
        <w:t xml:space="preserve">：</w:t>
      </w:r>
      <w:r>
        <w:rPr>
          <w:rFonts w:hint="eastAsia" w:ascii="宋体" w:hAnsi="宋体" w:cs="宋体"/>
          <w:bCs/>
          <w:szCs w:val="21"/>
          <w:highlight w:val="none"/>
          <w:lang w:eastAsia="en-US"/>
        </w:rPr>
        <w:t xml:space="preserve">“苏采云”系统的网址：http://jszfcg.jsczt.cn/。</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3.3“CA数字证书”的获取：</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pageBreakBefore w:val="0"/>
        <w:spacing w:line="360" w:lineRule="auto"/>
        <w:tabs>
          <w:tab w:val="left" w:pos="900" w:leader="none"/>
        </w:tabs>
        <w:rPr>
          <w:rFonts w:hint="eastAsia" w:ascii="宋体" w:hAnsi="宋体" w:cs="宋体"/>
          <w:bCs/>
          <w:szCs w:val="21"/>
          <w:highlight w:val="none"/>
          <w:lang w:eastAsia="en-US"/>
        </w:rPr>
      </w:pPr>
      <w:r>
        <w:rPr>
          <w:rFonts w:hint="eastAsia" w:ascii="宋体" w:hAnsi="宋体" w:cs="宋体"/>
          <w:bCs/>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3.4采购文件（后缀名为“.kedt”）、供应商操作手册及政府采购客户端工具可通过“苏采云”系统－－已报名项目－－报名详情页面内相应链接进行下载。</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3.5采购人或采购代理机构将数据电文形式的采购文件加载至“苏采云”系统，供潜在供应商下载或者查阅。</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3.7开评</w:t>
      </w:r>
      <w:r>
        <w:rPr>
          <w:rFonts w:hint="eastAsia" w:ascii="宋体" w:hAnsi="宋体" w:cs="宋体"/>
          <w:bCs/>
          <w:szCs w:val="21"/>
          <w:highlight w:val="none"/>
        </w:rPr>
        <w:t xml:space="preserve">标全过程中，磋商供应商一端参与交互的人员将均被视为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szCs w:val="21"/>
          <w:highlight w:val="none"/>
        </w:rPr>
      </w:pPr>
      <w:r/>
      <w:bookmarkStart w:id="20" w:name="_Toc28359016"/>
      <w:r/>
      <w:bookmarkStart w:id="21" w:name="_Toc35393802"/>
      <w:r/>
      <w:bookmarkStart w:id="22" w:name="_Toc35393633"/>
      <w:r/>
      <w:bookmarkStart w:id="23" w:name="_Toc28359093"/>
      <w:r>
        <w:rPr>
          <w:rFonts w:hint="eastAsia" w:ascii="宋体" w:hAnsi="宋体" w:cs="宋体"/>
          <w:szCs w:val="21"/>
          <w:highlight w:val="none"/>
        </w:rPr>
        <w:t xml:space="preserve">1.响应文件提交截止时间：2025年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时</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0分（北京时间）。逾期，“苏采云”系统将拒绝接收上传响应文件电子文档。</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en-US"/>
        </w:rPr>
        <w:t xml:space="preserve">地点：“苏采云”系统（网址：http://jszfcg.jsczt.cn/）</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五、开启（</w:t>
      </w:r>
      <w:r>
        <w:rPr>
          <w:rFonts w:hint="eastAsia" w:ascii="宋体" w:hAnsi="宋体" w:cs="宋体"/>
          <w:b/>
          <w:bCs/>
          <w:i/>
          <w:szCs w:val="21"/>
          <w:highlight w:val="none"/>
        </w:rPr>
        <w:t xml:space="preserve">竞争性磋商方式必须填写</w:t>
      </w:r>
      <w:r>
        <w:rPr>
          <w:rFonts w:hint="eastAsia" w:ascii="宋体" w:hAnsi="宋体" w:cs="宋体"/>
          <w:b/>
          <w:bCs/>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szCs w:val="21"/>
          <w:highlight w:val="none"/>
        </w:rPr>
      </w:pPr>
      <w:r/>
      <w:bookmarkStart w:id="24" w:name="_Toc28359094"/>
      <w:r/>
      <w:bookmarkStart w:id="25" w:name="_Toc35393634"/>
      <w:r/>
      <w:bookmarkStart w:id="26" w:name="_Toc35393803"/>
      <w:r/>
      <w:bookmarkStart w:id="27" w:name="_Toc28359017"/>
      <w:r>
        <w:rPr>
          <w:rFonts w:hint="eastAsia" w:ascii="宋体" w:hAnsi="宋体" w:cs="宋体"/>
          <w:szCs w:val="21"/>
          <w:highlight w:val="none"/>
        </w:rPr>
        <w:t xml:space="preserve">1.时间：2025年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时</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0分（北京时间）。</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2.地点：</w:t>
      </w:r>
      <w:r>
        <w:rPr>
          <w:rFonts w:hint="eastAsia" w:ascii="宋体" w:hAnsi="宋体" w:cs="宋体"/>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highlight w:val="none"/>
        </w:rPr>
        <w:t xml:space="preserve">投标供应商解密限定在开标后30分钟之内完成</w:t>
      </w:r>
      <w:r>
        <w:rPr>
          <w:rFonts w:hint="eastAsia" w:ascii="宋体" w:hAnsi="宋体" w:cs="宋体"/>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w:t>
      </w:r>
      <w:bookmarkStart w:id="148" w:name="_GoBack"/>
      <w:r/>
      <w:bookmarkEnd w:id="148"/>
      <w:r>
        <w:rPr>
          <w:rFonts w:hint="eastAsia" w:ascii="宋体" w:hAnsi="宋体" w:cs="宋体"/>
          <w:szCs w:val="21"/>
          <w:highlight w:val="none"/>
        </w:rPr>
        <w:t xml:space="preserve">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注：</w:t>
      </w:r>
      <w:r>
        <w:rPr>
          <w:rFonts w:hint="eastAsia" w:ascii="宋体" w:hAnsi="宋体" w:cs="宋体"/>
          <w:szCs w:val="21"/>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自本公告发布之日起3个工作日。</w:t>
      </w:r>
      <w:bookmarkStart w:id="28" w:name="_Toc35393804"/>
      <w:r/>
      <w:bookmarkStart w:id="29" w:name="_Toc35393635"/>
      <w:r/>
      <w:r/>
    </w:p>
    <w:p>
      <w:pPr>
        <w:numPr>
          <w:ilvl w:val="0"/>
          <w:numId w:val="1"/>
        </w:num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其他补充事宜</w:t>
      </w:r>
      <w:bookmarkEnd w:id="28"/>
      <w:r/>
      <w:bookmarkEnd w:id="29"/>
      <w:r/>
      <w:bookmarkStart w:id="30" w:name="_Toc28359095"/>
      <w:r/>
      <w:bookmarkStart w:id="31" w:name="_Toc28359018"/>
      <w:r/>
      <w:bookmarkStart w:id="32" w:name="_Toc35393805"/>
      <w:r/>
      <w:bookmarkStart w:id="33" w:name="_Toc35393636"/>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4.相关法律法规规定：</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 xml:space="preserve">符合《政府采购竞争性磋商采购方式管理办法》第三条第四项及《财政部关于竞争性磋商采购方式管理暂行办法有关问题的补充通知》（财库〔2015〕124号）规定情形的，提交最后报价的供应商可以为2家。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5.本项目为固定总价合同</w:t>
      </w:r>
      <w:r>
        <w:rPr>
          <w:rFonts w:hint="eastAsia" w:ascii="宋体" w:hAnsi="宋体" w:cs="宋体"/>
          <w:szCs w:val="21"/>
          <w:highlight w:val="none"/>
        </w:rPr>
        <w:t xml:space="preserve">，包含但不限于本项目服务过程的人员费用、差旅费、食宿费、运营管理费、税金</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一切不可预见的</w:t>
      </w:r>
      <w:r>
        <w:rPr>
          <w:rFonts w:hint="eastAsia" w:ascii="宋体" w:hAnsi="宋体" w:cs="宋体"/>
          <w:szCs w:val="21"/>
          <w:highlight w:val="none"/>
          <w:lang w:val="en-US" w:eastAsia="zh-CN"/>
        </w:rPr>
        <w:t xml:space="preserve">设备</w:t>
      </w:r>
      <w:r>
        <w:rPr>
          <w:rFonts w:hint="eastAsia" w:ascii="宋体" w:hAnsi="宋体" w:cs="宋体"/>
          <w:szCs w:val="21"/>
          <w:highlight w:val="none"/>
        </w:rPr>
        <w:t xml:space="preserve">费用、风险费用、利润等。供应商应充分考虑本项目合同实施期间可能发生的费用，并承担由此而带来的风险。</w:t>
      </w:r>
      <w:r/>
    </w:p>
    <w:p>
      <w:pPr>
        <w:ind w:firstLine="420"/>
        <w:pageBreakBefore w:val="0"/>
        <w:spacing w:line="360" w:lineRule="auto"/>
        <w:rPr>
          <w:rFonts w:hint="eastAsia" w:ascii="宋体" w:hAnsi="宋体" w:cs="宋体"/>
          <w:b/>
          <w:bCs/>
          <w:szCs w:val="21"/>
          <w:highlight w:val="none"/>
        </w:rPr>
      </w:pPr>
      <w:r>
        <w:rPr>
          <w:rFonts w:hint="eastAsia" w:ascii="宋体" w:hAnsi="宋体" w:cs="宋体"/>
          <w:szCs w:val="21"/>
          <w:highlight w:val="none"/>
        </w:rPr>
        <w:t xml:space="preserve">6.根据《关于推动解决政府采购异常低价问题相关工作的通知》（苏财购〔2025〕62号）精神，</w:t>
      </w:r>
      <w:r>
        <w:rPr>
          <w:rFonts w:hint="eastAsia" w:ascii="宋体" w:hAnsi="宋体" w:cs="宋体"/>
          <w:b/>
          <w:bCs/>
          <w:szCs w:val="21"/>
          <w:highlight w:val="none"/>
        </w:rPr>
        <w:t xml:space="preserve">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6.2投标（响应）报价低于采购项目最高限价45%的，即投标（响应）报价＜采购项目最高限价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7.以联合体形式参加的，联合体单位不允许超过2家，由联合体牵头人报名获取采购文件等资料。</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八、凡对本次采购提出询问，请按以下方式联系</w:t>
      </w:r>
      <w:bookmarkEnd w:id="30"/>
      <w:r/>
      <w:bookmarkEnd w:id="31"/>
      <w:r/>
      <w:bookmarkEnd w:id="32"/>
      <w:r/>
      <w:bookmarkEnd w:id="33"/>
      <w:r>
        <w:rPr>
          <w:rFonts w:hint="eastAsia" w:ascii="宋体" w:hAnsi="宋体" w:cs="宋体"/>
          <w:b/>
          <w:bCs/>
          <w:szCs w:val="21"/>
          <w:highlight w:val="none"/>
        </w:rPr>
        <w:t xml:space="preserve">。</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bidi="ar"/>
        </w:rPr>
        <w:t xml:space="preserve">1.采购单位：</w:t>
      </w:r>
      <w:r>
        <w:rPr>
          <w:rFonts w:hint="eastAsia" w:ascii="宋体" w:hAnsi="宋体" w:cs="宋体"/>
          <w:szCs w:val="21"/>
          <w:highlight w:val="none"/>
          <w:lang w:eastAsia="zh-CN" w:bidi="ar"/>
        </w:rPr>
        <w:t xml:space="preserve">中共泰州市委网络安全和信息化委员会办公室 </w:t>
      </w:r>
      <w:r/>
    </w:p>
    <w:p>
      <w:pPr>
        <w:ind w:firstLine="420"/>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bidi="ar"/>
        </w:rPr>
        <w:t xml:space="preserve">地址：</w:t>
      </w:r>
      <w:r>
        <w:rPr>
          <w:rFonts w:hint="eastAsia" w:ascii="宋体" w:hAnsi="宋体" w:cs="宋体"/>
          <w:szCs w:val="21"/>
          <w:highlight w:val="none"/>
          <w:lang w:val="en-US" w:eastAsia="zh-CN"/>
        </w:rPr>
        <w:t xml:space="preserve">泰州市凤凰东路58号市政府大院B楼</w:t>
      </w:r>
      <w:r/>
    </w:p>
    <w:p>
      <w:pPr>
        <w:contextualSpacing/>
        <w:ind w:firstLine="420"/>
        <w:pageBreakBefore w:val="0"/>
        <w:spacing w:line="360" w:lineRule="auto"/>
        <w:rPr>
          <w:rFonts w:hint="eastAsia" w:cs="宋体" w:asciiTheme="minorEastAsia" w:hAnsiTheme="minorEastAsia" w:eastAsiaTheme="minorEastAsia"/>
          <w:bCs/>
          <w:szCs w:val="21"/>
          <w:highlight w:val="none"/>
          <w:lang w:eastAsia="zh-CN"/>
        </w:rPr>
      </w:pPr>
      <w:r>
        <w:rPr>
          <w:rFonts w:hint="eastAsia" w:ascii="宋体" w:hAnsi="宋体" w:cs="宋体"/>
          <w:szCs w:val="21"/>
          <w:highlight w:val="none"/>
          <w:lang w:bidi="ar"/>
        </w:rPr>
        <w:t xml:space="preserve">联系</w:t>
      </w:r>
      <w:r>
        <w:rPr>
          <w:rFonts w:hint="eastAsia" w:ascii="宋体" w:hAnsi="宋体" w:cs="宋体"/>
          <w:szCs w:val="21"/>
          <w:highlight w:val="none"/>
          <w:lang w:val="en-US" w:eastAsia="zh-CN" w:bidi="ar"/>
        </w:rPr>
        <w:t xml:space="preserve">人</w:t>
      </w:r>
      <w:r>
        <w:rPr>
          <w:rFonts w:hint="eastAsia" w:ascii="宋体" w:hAnsi="宋体" w:cs="宋体"/>
          <w:szCs w:val="21"/>
          <w:highlight w:val="none"/>
          <w:lang w:bidi="ar"/>
        </w:rPr>
        <w:t xml:space="preserve">：</w:t>
      </w:r>
      <w:r>
        <w:rPr>
          <w:rFonts w:hint="eastAsia" w:ascii="宋体" w:hAnsi="宋体" w:cs="宋体"/>
          <w:szCs w:val="21"/>
          <w:highlight w:val="none"/>
          <w:lang w:val="en-US" w:eastAsia="zh-CN" w:bidi="ar"/>
        </w:rPr>
        <w:t xml:space="preserve">张磊   联系电话：</w:t>
      </w:r>
      <w:r>
        <w:rPr>
          <w:rFonts w:hint="eastAsia" w:cs="宋体" w:asciiTheme="minorEastAsia" w:hAnsiTheme="minorEastAsia" w:eastAsiaTheme="minorEastAsia"/>
          <w:bCs/>
          <w:szCs w:val="21"/>
          <w:highlight w:val="none"/>
        </w:rPr>
        <w:t xml:space="preserve">0523-</w:t>
      </w:r>
      <w:r>
        <w:rPr>
          <w:rFonts w:hint="eastAsia" w:cs="宋体" w:asciiTheme="minorEastAsia" w:hAnsiTheme="minorEastAsia" w:eastAsiaTheme="minorEastAsia"/>
          <w:bCs/>
          <w:szCs w:val="21"/>
          <w:highlight w:val="none"/>
          <w:lang w:val="en-US" w:eastAsia="zh-CN"/>
        </w:rPr>
        <w:t xml:space="preserve">86886092 </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2.代理机构：江苏华强工程投资管理咨询有限公司</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bidi="ar"/>
        </w:rPr>
        <w:t xml:space="preserve">联 系 人：杨女士，  联系电话：</w:t>
      </w:r>
      <w:r>
        <w:rPr>
          <w:rFonts w:hint="eastAsia" w:ascii="宋体" w:hAnsi="宋体" w:cs="宋体"/>
          <w:szCs w:val="21"/>
          <w:highlight w:val="none"/>
          <w:lang w:eastAsia="zh-CN" w:bidi="ar"/>
        </w:rPr>
        <w:t xml:space="preserve">0523-82987125</w:t>
      </w:r>
      <w:r/>
    </w:p>
    <w:p>
      <w:pPr>
        <w:ind w:firstLine="420"/>
        <w:pageBreakBefore w:val="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办公地址：泰州市海陵南路179号华诚大厦B座9楼西侧 </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邮政编码：225300</w:t>
      </w:r>
      <w:r/>
    </w:p>
    <w:p>
      <w:pPr>
        <w:ind w:firstLine="420"/>
        <w:pageBreakBefore w:val="0"/>
        <w:spacing w:line="360" w:lineRule="auto"/>
        <w:rPr>
          <w:rFonts w:hint="eastAsia" w:ascii="宋体" w:hAnsi="宋体" w:cs="宋体"/>
          <w:szCs w:val="21"/>
          <w:highlight w:val="none"/>
        </w:rPr>
      </w:pPr>
      <w:r/>
      <w:bookmarkStart w:id="34" w:name="_Toc35393639"/>
      <w:r/>
      <w:bookmarkStart w:id="35" w:name="_Toc28359021"/>
      <w:r/>
      <w:bookmarkStart w:id="36" w:name="_Toc35393808"/>
      <w:r/>
      <w:bookmarkStart w:id="37" w:name="_Toc28359098"/>
      <w:r>
        <w:rPr>
          <w:rFonts w:hint="eastAsia" w:ascii="宋体" w:hAnsi="宋体" w:cs="宋体"/>
          <w:szCs w:val="21"/>
          <w:highlight w:val="none"/>
          <w:lang w:bidi="ar"/>
        </w:rPr>
        <w:t xml:space="preserve">3.项目联系方式</w:t>
      </w:r>
      <w:bookmarkEnd w:id="34"/>
      <w:r/>
      <w:bookmarkEnd w:id="35"/>
      <w:r/>
      <w:bookmarkEnd w:id="36"/>
      <w:r/>
      <w:bookmarkEnd w:id="37"/>
      <w:r/>
      <w:r/>
    </w:p>
    <w:p>
      <w:pPr>
        <w:ind w:firstLine="420"/>
        <w:pageBreakBefore w:val="0"/>
        <w:spacing w:line="360" w:lineRule="auto"/>
        <w:rPr>
          <w:rFonts w:hint="eastAsia" w:ascii="宋体" w:hAnsi="宋体" w:eastAsia="宋体"/>
          <w:b/>
          <w:szCs w:val="21"/>
          <w:highlight w:val="none"/>
          <w:lang w:eastAsia="zh-CN"/>
        </w:rPr>
        <w:sectPr>
          <w:footerReference w:type="default" r:id="rId12"/>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szCs w:val="21"/>
          <w:highlight w:val="none"/>
          <w:lang w:bidi="ar"/>
        </w:rPr>
        <w:t xml:space="preserve">项目联系人：杨女士     联系电话：</w:t>
      </w:r>
      <w:r>
        <w:rPr>
          <w:rFonts w:hint="eastAsia" w:ascii="宋体" w:hAnsi="宋体" w:cs="宋体"/>
          <w:szCs w:val="21"/>
          <w:highlight w:val="none"/>
          <w:lang w:eastAsia="zh-CN" w:bidi="ar"/>
        </w:rPr>
        <w:t xml:space="preserve">0523-82987125</w:t>
      </w:r>
      <w:r/>
    </w:p>
    <w:p>
      <w:pPr>
        <w:ind w:firstLine="422"/>
        <w:jc w:val="center"/>
        <w:pageBreakBefore w:val="0"/>
        <w:spacing w:line="360" w:lineRule="auto"/>
        <w:rPr>
          <w:rFonts w:hint="eastAsia" w:ascii="宋体" w:hAnsi="宋体"/>
          <w:b/>
          <w:szCs w:val="21"/>
          <w:highlight w:val="none"/>
        </w:rPr>
      </w:pPr>
      <w:r>
        <w:rPr>
          <w:rFonts w:hint="eastAsia" w:ascii="宋体" w:hAnsi="宋体"/>
          <w:b/>
          <w:szCs w:val="21"/>
          <w:highlight w:val="none"/>
        </w:rPr>
        <w:t xml:space="preserve">第二章 参加磋商供应商须知</w:t>
      </w:r>
      <w:r/>
    </w:p>
    <w:p>
      <w:pPr>
        <w:ind w:firstLine="420"/>
        <w:jc w:val="center"/>
        <w:pageBreakBefore w:val="0"/>
        <w:spacing w:line="360" w:lineRule="auto"/>
        <w:rPr>
          <w:rFonts w:hint="eastAsia" w:ascii="宋体" w:hAnsi="宋体"/>
          <w:b/>
          <w:bCs/>
          <w:szCs w:val="21"/>
          <w:highlight w:val="none"/>
        </w:rPr>
      </w:pPr>
      <w:r>
        <w:rPr>
          <w:rFonts w:hint="eastAsia" w:ascii="宋体" w:hAnsi="宋体"/>
          <w:bCs/>
          <w:szCs w:val="21"/>
          <w:highlight w:val="none"/>
        </w:rPr>
        <w:t xml:space="preserve">（参加竞争性磋商的供应商以下简称“磋商供应商”）</w:t>
      </w:r>
      <w:bookmarkEnd w:id="5"/>
      <w:bookmarkEnd w:id="6"/>
      <w:bookmarkEnd w:id="7"/>
      <w:r/>
    </w:p>
    <w:p>
      <w:pPr>
        <w:ind w:firstLine="422"/>
        <w:pageBreakBefore w:val="0"/>
        <w:spacing w:line="360" w:lineRule="auto"/>
        <w:tabs>
          <w:tab w:val="left" w:pos="900" w:leader="none"/>
        </w:tabs>
        <w:rPr>
          <w:rFonts w:hint="eastAsia" w:ascii="宋体" w:hAnsi="宋体"/>
          <w:b/>
          <w:szCs w:val="21"/>
          <w:highlight w:val="none"/>
        </w:rPr>
      </w:pPr>
      <w:r>
        <w:rPr>
          <w:rFonts w:hint="eastAsia" w:ascii="宋体" w:hAnsi="宋体"/>
          <w:b/>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本磋商文件仅适用于</w:t>
      </w:r>
      <w:r>
        <w:rPr>
          <w:rFonts w:hint="eastAsia" w:ascii="宋体" w:hAnsi="宋体"/>
          <w:szCs w:val="21"/>
          <w:highlight w:val="none"/>
          <w:lang w:eastAsia="zh-CN"/>
        </w:rPr>
        <w:t xml:space="preserve">泰州市网络安全监管服务2025</w:t>
      </w:r>
      <w:r>
        <w:rPr>
          <w:rFonts w:hint="eastAsia" w:ascii="宋体" w:hAnsi="宋体"/>
          <w:szCs w:val="21"/>
          <w:highlight w:val="none"/>
        </w:rPr>
        <w:t xml:space="preserve">。</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2.项目采购方式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3.合格的磋商供应商</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4.参加磋商费用</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pageBreakBefore w:val="0"/>
        <w:spacing w:line="360" w:lineRule="auto"/>
        <w:rPr>
          <w:rFonts w:ascii="宋体" w:hAnsi="宋体" w:cs="宋体"/>
          <w:b/>
          <w:bCs/>
          <w:szCs w:val="21"/>
          <w:highlight w:val="none"/>
          <w:u w:val="single"/>
        </w:rPr>
      </w:pPr>
      <w:r>
        <w:rPr>
          <w:rFonts w:hint="eastAsia" w:ascii="宋体" w:hAnsi="宋体"/>
          <w:b/>
          <w:bCs/>
          <w:szCs w:val="21"/>
          <w:highlight w:val="none"/>
        </w:rPr>
        <w:t xml:space="preserve">4.2</w:t>
      </w:r>
      <w:r>
        <w:rPr>
          <w:rFonts w:hint="eastAsia" w:ascii="宋体" w:hAnsi="宋体" w:cs="宋体"/>
          <w:b/>
          <w:bCs/>
          <w:szCs w:val="21"/>
          <w:highlight w:val="none"/>
          <w:u w:val="single"/>
        </w:rPr>
        <w:t xml:space="preserve">招标代理服务费</w:t>
      </w:r>
      <w:r>
        <w:rPr>
          <w:rFonts w:hint="eastAsia" w:ascii="宋体" w:hAnsi="宋体" w:cs="宋体"/>
          <w:b/>
          <w:bCs/>
          <w:szCs w:val="21"/>
          <w:highlight w:val="none"/>
          <w:u w:val="single"/>
          <w:lang w:val="en-US" w:eastAsia="zh-CN"/>
        </w:rPr>
        <w:t xml:space="preserve">参照</w:t>
      </w:r>
      <w:r>
        <w:rPr>
          <w:rFonts w:hint="eastAsia" w:ascii="宋体" w:hAnsi="宋体" w:cs="宋体"/>
          <w:b/>
          <w:bCs/>
          <w:color w:val="auto"/>
          <w:szCs w:val="21"/>
          <w:highlight w:val="none"/>
          <w:u w:val="single"/>
        </w:rPr>
        <w:t xml:space="preserve">《关于印发〈江苏省政府采购代理服务收费指导意见〉的通知》（苏政采协﹝2024﹞20号）规定标准计取</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费用不足0.5万元，按照0.5万元计）</w:t>
      </w:r>
      <w:r>
        <w:rPr>
          <w:rFonts w:hint="eastAsia" w:ascii="宋体" w:hAnsi="宋体" w:cs="宋体"/>
          <w:b/>
          <w:bCs/>
          <w:color w:val="auto"/>
          <w:szCs w:val="21"/>
          <w:highlight w:val="none"/>
          <w:u w:val="single"/>
        </w:rPr>
        <w:t xml:space="preserve">,上述费用由供应商支付，请各供应商在报价时考虑，确定成交供应商后领取成交通知书前一次性缴纳给招标代理服务机构。</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5.磋商文件的约束力</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szCs w:val="21"/>
          <w:highlight w:val="none"/>
        </w:rPr>
      </w:pPr>
      <w:r/>
      <w:bookmarkStart w:id="38" w:name="_Toc20823309"/>
      <w:r/>
      <w:bookmarkStart w:id="39" w:name="_Toc513029237"/>
      <w:r/>
      <w:bookmarkStart w:id="40" w:name="_Toc16938553"/>
      <w:r>
        <w:rPr>
          <w:rFonts w:hint="eastAsia" w:ascii="宋体" w:hAnsi="宋体"/>
          <w:szCs w:val="21"/>
          <w:highlight w:val="none"/>
        </w:rPr>
        <w:t xml:space="preserve">6.磋商文件的解释</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磋商文件需求部分（供应商资格要求、项目需求、商务技术评分标准）由采购人解释，其他部分由采购代理机构解释。</w:t>
      </w:r>
      <w:r/>
    </w:p>
    <w:p>
      <w:pPr>
        <w:ind w:firstLine="482"/>
        <w:pageBreakBefore w:val="0"/>
        <w:spacing w:line="360" w:lineRule="auto"/>
        <w:rPr>
          <w:rFonts w:cs="宋体"/>
          <w:b/>
          <w:szCs w:val="21"/>
          <w:highlight w:val="none"/>
        </w:rPr>
      </w:pPr>
      <w:r/>
      <w:bookmarkStart w:id="41" w:name="_Toc16938525"/>
      <w:r/>
      <w:bookmarkStart w:id="42" w:name="_Toc20823281"/>
      <w:r/>
      <w:bookmarkStart w:id="43" w:name="_Toc120614215"/>
      <w:r>
        <w:rPr>
          <w:rFonts w:hint="eastAsia" w:cs="宋体"/>
          <w:b/>
          <w:szCs w:val="21"/>
          <w:highlight w:val="none"/>
        </w:rPr>
        <w:t xml:space="preserve">二、磋商文件</w:t>
      </w:r>
      <w:bookmarkEnd w:id="41"/>
      <w:r/>
      <w:bookmarkEnd w:id="42"/>
      <w:r/>
      <w:bookmarkEnd w:id="43"/>
      <w:r/>
      <w:r/>
    </w:p>
    <w:p>
      <w:pPr>
        <w:ind w:firstLine="420"/>
        <w:pageBreakBefore w:val="0"/>
        <w:spacing w:line="360" w:lineRule="auto"/>
        <w:tabs>
          <w:tab w:val="left" w:pos="900" w:leader="none"/>
        </w:tabs>
        <w:rPr>
          <w:rFonts w:hint="eastAsia" w:ascii="宋体" w:hAnsi="宋体"/>
          <w:szCs w:val="21"/>
          <w:highlight w:val="none"/>
        </w:rPr>
      </w:pPr>
      <w:r/>
      <w:bookmarkStart w:id="44" w:name="_Toc16938526"/>
      <w:r/>
      <w:bookmarkStart w:id="45" w:name="_Toc20823282"/>
      <w:r/>
      <w:bookmarkStart w:id="46" w:name="_Toc513029210"/>
      <w:r>
        <w:rPr>
          <w:rFonts w:hint="eastAsia" w:ascii="宋体" w:hAnsi="宋体"/>
          <w:szCs w:val="21"/>
          <w:highlight w:val="none"/>
        </w:rPr>
        <w:t xml:space="preserve">1.磋商文件构成</w:t>
      </w:r>
      <w:bookmarkEnd w:id="44"/>
      <w:r/>
      <w:bookmarkEnd w:id="45"/>
      <w:r/>
      <w:bookmarkEnd w:id="46"/>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1.1 磋商文件由以下部分组成：</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（1）竞争性磋商公告</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（2）供应商须知</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（3）合同条款及格式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（4）项目需求</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（6）响应文件组成和格式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szCs w:val="21"/>
          <w:highlight w:val="none"/>
        </w:rPr>
      </w:pPr>
      <w:r/>
      <w:bookmarkStart w:id="47" w:name="_Toc16938527"/>
      <w:r/>
      <w:bookmarkStart w:id="48" w:name="_Toc513029211"/>
      <w:r/>
      <w:bookmarkStart w:id="49" w:name="_Toc20823283"/>
      <w:r/>
      <w:bookmarkStart w:id="50" w:name="_Toc462564070"/>
      <w:r>
        <w:rPr>
          <w:rFonts w:hint="eastAsia" w:ascii="宋体" w:hAnsi="宋体"/>
          <w:szCs w:val="21"/>
          <w:highlight w:val="none"/>
        </w:rPr>
        <w:t xml:space="preserve">2.磋商文件的澄清</w:t>
      </w:r>
      <w:bookmarkEnd w:id="47"/>
      <w:r/>
      <w:bookmarkEnd w:id="48"/>
      <w:r/>
      <w:bookmarkEnd w:id="49"/>
      <w:r/>
      <w:bookmarkEnd w:id="50"/>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szCs w:val="21"/>
          <w:highlight w:val="none"/>
        </w:rPr>
      </w:pPr>
      <w:r/>
      <w:bookmarkStart w:id="51" w:name="_Toc462564071"/>
      <w:r/>
      <w:bookmarkStart w:id="52" w:name="_Toc513029212"/>
      <w:r/>
      <w:bookmarkStart w:id="53" w:name="_Toc20823284"/>
      <w:r/>
      <w:bookmarkStart w:id="54" w:name="_Toc16938528"/>
      <w:r>
        <w:rPr>
          <w:rFonts w:hint="eastAsia" w:ascii="宋体" w:hAnsi="宋体"/>
          <w:szCs w:val="21"/>
          <w:highlight w:val="none"/>
        </w:rPr>
        <w:t xml:space="preserve">3.磋商文件的修改</w:t>
      </w:r>
      <w:bookmarkEnd w:id="51"/>
      <w:r/>
      <w:bookmarkEnd w:id="52"/>
      <w:r/>
      <w:bookmarkEnd w:id="53"/>
      <w:r/>
      <w:bookmarkEnd w:id="54"/>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highlight w:val="none"/>
        </w:rPr>
        <w:br/>
      </w:r>
      <w:r>
        <w:rPr>
          <w:rFonts w:hint="eastAsia" w:ascii="宋体" w:hAnsi="宋体"/>
          <w:szCs w:val="21"/>
          <w:highlight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szCs w:val="21"/>
          <w:highlight w:val="none"/>
          <w:u w:val="single"/>
        </w:rPr>
      </w:pPr>
      <w:r>
        <w:rPr>
          <w:rFonts w:hint="eastAsia" w:ascii="宋体" w:hAnsi="宋体" w:cs="宋体"/>
          <w:b/>
          <w:bCs/>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pageBreakBefore w:val="0"/>
        <w:spacing w:line="360" w:lineRule="auto"/>
        <w:rPr>
          <w:rFonts w:hint="eastAsia" w:ascii="宋体" w:hAnsi="宋体" w:cs="宋体"/>
          <w:b/>
          <w:szCs w:val="21"/>
          <w:highlight w:val="none"/>
        </w:rPr>
      </w:pPr>
      <w:r/>
      <w:bookmarkStart w:id="55" w:name="_Toc120614216"/>
      <w:r/>
      <w:bookmarkStart w:id="56" w:name="_Toc513029213"/>
      <w:r/>
      <w:bookmarkStart w:id="57" w:name="_Toc462564072"/>
      <w:r/>
      <w:bookmarkStart w:id="58" w:name="_Toc16938529"/>
      <w:r/>
      <w:bookmarkStart w:id="59" w:name="_Toc20823285"/>
      <w:r>
        <w:rPr>
          <w:rFonts w:hint="eastAsia" w:ascii="宋体" w:hAnsi="宋体" w:cs="宋体"/>
          <w:b/>
          <w:szCs w:val="21"/>
          <w:highlight w:val="none"/>
        </w:rPr>
        <w:t xml:space="preserve">三、响应文件的编制</w:t>
      </w:r>
      <w:bookmarkEnd w:id="55"/>
      <w:r/>
      <w:bookmarkEnd w:id="56"/>
      <w:r/>
      <w:bookmarkEnd w:id="57"/>
      <w:r/>
      <w:bookmarkEnd w:id="58"/>
      <w:r/>
      <w:bookmarkEnd w:id="59"/>
      <w:r/>
      <w:r/>
    </w:p>
    <w:p>
      <w:pPr>
        <w:ind w:firstLine="480"/>
        <w:pageBreakBefore w:val="0"/>
        <w:spacing w:line="360" w:lineRule="auto"/>
        <w:rPr>
          <w:rFonts w:hint="eastAsia" w:ascii="宋体" w:hAnsi="宋体" w:cs="宋体"/>
          <w:szCs w:val="21"/>
          <w:highlight w:val="none"/>
        </w:rPr>
      </w:pPr>
      <w:r/>
      <w:bookmarkStart w:id="60" w:name="_Toc20823286"/>
      <w:r/>
      <w:bookmarkStart w:id="61" w:name="_Toc16938530"/>
      <w:r/>
      <w:bookmarkStart w:id="62" w:name="_Toc462564073"/>
      <w:r/>
      <w:bookmarkStart w:id="63" w:name="_Toc513029214"/>
      <w:r>
        <w:rPr>
          <w:rFonts w:hint="eastAsia" w:ascii="宋体" w:hAnsi="宋体" w:cs="宋体"/>
          <w:szCs w:val="21"/>
          <w:highlight w:val="none"/>
        </w:rPr>
        <w:t xml:space="preserve">1.响应文件的语言及度量衡单位</w:t>
      </w:r>
      <w:bookmarkEnd w:id="60"/>
      <w:r/>
      <w:bookmarkEnd w:id="61"/>
      <w:r/>
      <w:bookmarkEnd w:id="62"/>
      <w:r/>
      <w:bookmarkEnd w:id="63"/>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szCs w:val="21"/>
          <w:highlight w:val="none"/>
        </w:rPr>
      </w:pPr>
      <w:r/>
      <w:bookmarkStart w:id="64" w:name="_Toc513029215"/>
      <w:r/>
      <w:bookmarkStart w:id="65" w:name="_Toc20823287"/>
      <w:r/>
      <w:bookmarkStart w:id="66" w:name="_Toc462564074"/>
      <w:r/>
      <w:bookmarkStart w:id="67" w:name="_Toc16938531"/>
      <w:r>
        <w:rPr>
          <w:rFonts w:hint="eastAsia" w:ascii="宋体" w:hAnsi="宋体" w:cs="宋体"/>
          <w:szCs w:val="21"/>
          <w:highlight w:val="none"/>
        </w:rPr>
        <w:t xml:space="preserve">2.响应文件构成</w:t>
      </w:r>
      <w:bookmarkEnd w:id="64"/>
      <w:r/>
      <w:bookmarkEnd w:id="65"/>
      <w:r/>
      <w:bookmarkEnd w:id="66"/>
      <w:r/>
      <w:bookmarkEnd w:id="67"/>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2.1供应商编写的响应文件应包括资格审查文件、商务技术响应文件、报价响应文件。供应商按第六章 响应文件的组成和格式要求编写响应文件。</w:t>
      </w:r>
      <w:r/>
    </w:p>
    <w:p>
      <w:pPr>
        <w:ind w:firstLine="480"/>
        <w:pageBreakBefore w:val="0"/>
        <w:spacing w:line="360" w:lineRule="auto"/>
        <w:rPr>
          <w:rFonts w:hint="eastAsia" w:ascii="宋体" w:hAnsi="宋体" w:cs="宋体"/>
          <w:szCs w:val="21"/>
          <w:highlight w:val="none"/>
        </w:rPr>
      </w:pPr>
      <w:r/>
      <w:bookmarkStart w:id="68" w:name="_Hlt26668975"/>
      <w:r/>
      <w:bookmarkEnd w:id="68"/>
      <w:r/>
      <w:bookmarkStart w:id="69" w:name="_Hlt26670360"/>
      <w:r/>
      <w:bookmarkEnd w:id="69"/>
      <w:r/>
      <w:bookmarkStart w:id="70" w:name="_Hlt26954838"/>
      <w:r/>
      <w:bookmarkEnd w:id="70"/>
      <w:r/>
      <w:bookmarkStart w:id="71" w:name="_Toc14577360"/>
      <w:r/>
      <w:bookmarkStart w:id="72" w:name="_Toc49090511"/>
      <w:r>
        <w:rPr>
          <w:rFonts w:hint="eastAsia" w:ascii="宋体" w:hAnsi="宋体" w:cs="宋体"/>
          <w:szCs w:val="21"/>
          <w:highlight w:val="none"/>
        </w:rPr>
        <w:t xml:space="preserve">3.</w:t>
      </w:r>
      <w:bookmarkEnd w:id="71"/>
      <w:r/>
      <w:bookmarkEnd w:id="72"/>
      <w:r>
        <w:rPr>
          <w:rFonts w:hint="eastAsia" w:ascii="宋体" w:hAnsi="宋体" w:cs="宋体"/>
          <w:szCs w:val="21"/>
          <w:highlight w:val="none"/>
        </w:rPr>
        <w:t xml:space="preserve">磋商响应有效期</w:t>
      </w:r>
      <w:r/>
    </w:p>
    <w:p>
      <w:pPr>
        <w:ind w:firstLine="48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3.1磋商响应有效期为采购文件规定的响应文件</w:t>
      </w:r>
      <w:r>
        <w:rPr>
          <w:rFonts w:hint="eastAsia" w:ascii="宋体" w:hAnsi="宋体" w:cs="宋体"/>
          <w:szCs w:val="21"/>
          <w:highlight w:val="none"/>
        </w:rPr>
        <w:t xml:space="preserve">提交</w:t>
      </w:r>
      <w:r>
        <w:rPr>
          <w:rFonts w:hint="eastAsia" w:ascii="宋体" w:hAnsi="宋体" w:cs="宋体"/>
          <w:bCs/>
          <w:szCs w:val="21"/>
          <w:highlight w:val="none"/>
        </w:rPr>
        <w:t xml:space="preserve">截止时间后</w:t>
      </w:r>
      <w:r>
        <w:rPr>
          <w:rFonts w:hint="eastAsia" w:ascii="宋体" w:hAnsi="宋体" w:cs="宋体"/>
          <w:b/>
          <w:szCs w:val="21"/>
          <w:highlight w:val="none"/>
          <w:u w:val="single"/>
        </w:rPr>
        <w:t xml:space="preserve">六十（60）天</w:t>
      </w:r>
      <w:r>
        <w:rPr>
          <w:rFonts w:hint="eastAsia" w:ascii="宋体" w:hAnsi="宋体" w:cs="宋体"/>
          <w:bCs/>
          <w:szCs w:val="21"/>
          <w:highlight w:val="none"/>
        </w:rPr>
        <w:t xml:space="preserve">。磋</w:t>
      </w:r>
      <w:r>
        <w:rPr>
          <w:rFonts w:hint="eastAsia" w:ascii="宋体" w:hAnsi="宋体" w:cs="宋体"/>
          <w:szCs w:val="21"/>
          <w:highlight w:val="none"/>
        </w:rPr>
        <w:t xml:space="preserve">商响应有效期比规定短的将被视为非实质性响应而予以拒绝。</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4.磋商响应有效期的延长</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szCs w:val="21"/>
          <w:highlight w:val="none"/>
        </w:rPr>
      </w:pPr>
      <w:r/>
      <w:bookmarkStart w:id="73" w:name="_Hlt26954852"/>
      <w:r/>
      <w:bookmarkEnd w:id="73"/>
      <w:r/>
      <w:bookmarkStart w:id="74" w:name="_Hlt26954739"/>
      <w:r/>
      <w:bookmarkEnd w:id="74"/>
      <w:r/>
      <w:bookmarkStart w:id="75" w:name="_Toc120614217"/>
      <w:r/>
      <w:bookmarkStart w:id="76" w:name="_Toc16938540"/>
      <w:r/>
      <w:bookmarkStart w:id="77" w:name="_Toc20823296"/>
      <w:r/>
      <w:bookmarkStart w:id="78" w:name="_Toc513029224"/>
      <w:r>
        <w:rPr>
          <w:rFonts w:hint="eastAsia" w:ascii="宋体" w:hAnsi="宋体" w:cs="宋体"/>
          <w:szCs w:val="21"/>
          <w:highlight w:val="none"/>
        </w:rPr>
        <w:t xml:space="preserve">5.电子响应文件其他要求</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5.4供应商应对要求提供的资格证明文件（如资质证书、资格证书）、技术资料（如白皮书、彩页、手册、检测报告等）扫描上传至投标系统。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四、响应文件的提交</w:t>
      </w:r>
      <w:bookmarkEnd w:id="75"/>
      <w:r/>
      <w:bookmarkEnd w:id="76"/>
      <w:r/>
      <w:bookmarkEnd w:id="77"/>
      <w:r/>
      <w:bookmarkEnd w:id="78"/>
      <w:r/>
      <w:r/>
    </w:p>
    <w:p>
      <w:pPr>
        <w:ind w:firstLine="480"/>
        <w:pageBreakBefore w:val="0"/>
        <w:spacing w:line="360" w:lineRule="auto"/>
        <w:rPr>
          <w:rFonts w:hint="eastAsia" w:ascii="宋体" w:hAnsi="宋体" w:cs="宋体"/>
          <w:szCs w:val="21"/>
          <w:highlight w:val="none"/>
        </w:rPr>
      </w:pPr>
      <w:r/>
      <w:bookmarkStart w:id="79" w:name="_Toc513029225"/>
      <w:r/>
      <w:bookmarkStart w:id="80" w:name="_Toc462564084"/>
      <w:r/>
      <w:bookmarkStart w:id="81" w:name="_Toc20823297"/>
      <w:r/>
      <w:bookmarkStart w:id="82" w:name="_Toc16938541"/>
      <w:r/>
      <w:bookmarkStart w:id="83" w:name="_Toc20823301"/>
      <w:r/>
      <w:bookmarkStart w:id="84" w:name="_Toc16938545"/>
      <w:r/>
      <w:bookmarkStart w:id="85" w:name="_Toc513029229"/>
      <w:r/>
      <w:bookmarkStart w:id="86" w:name="_Toc120614218"/>
      <w:r>
        <w:rPr>
          <w:rFonts w:hint="eastAsia" w:ascii="宋体" w:hAnsi="宋体" w:cs="宋体"/>
          <w:szCs w:val="21"/>
          <w:highlight w:val="none"/>
        </w:rPr>
        <w:t xml:space="preserve">1.响应文件</w:t>
      </w:r>
      <w:bookmarkEnd w:id="79"/>
      <w:r/>
      <w:bookmarkEnd w:id="80"/>
      <w:r/>
      <w:bookmarkEnd w:id="81"/>
      <w:r/>
      <w:bookmarkEnd w:id="82"/>
      <w:r>
        <w:rPr>
          <w:rFonts w:hint="eastAsia" w:ascii="宋体" w:hAnsi="宋体" w:cs="宋体"/>
          <w:szCs w:val="21"/>
          <w:highlight w:val="none"/>
        </w:rPr>
        <w:t xml:space="preserve">的提交</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线上提交与接收地点：供应商应当通过“苏采云”系统提交数据电文形式的响应文件（即电子投标），“苏采云”系统自动接收。</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2.提交响应文件截止日期</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3.响应文件的密封（加密）要求：</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说明：供应商应使用CA数字证书以及自备的能够登录“苏采云”系统的电脑，在达到开标时间后，使用CA数字证书解密各自响应文件。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3.3供应商未按规定加密的响应文件，“苏采云”系统将拒收并提示。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4.响应文件的拒收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5.响应文件的撤回和修改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5.1响应文件的撤回</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5.1.1电子响应文件的撤回</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5.2响应文件的修改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5.3在响应文件提交截止时间之后，供应商不得对其电子响应文件做任何修改。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五</w:t>
      </w:r>
      <w:bookmarkEnd w:id="83"/>
      <w:r/>
      <w:bookmarkEnd w:id="84"/>
      <w:r/>
      <w:bookmarkEnd w:id="85"/>
      <w:r/>
      <w:bookmarkEnd w:id="86"/>
      <w:r/>
      <w:bookmarkStart w:id="87" w:name="_Toc16938546"/>
      <w:r/>
      <w:bookmarkStart w:id="88" w:name="_Toc20823302"/>
      <w:r/>
      <w:bookmarkStart w:id="89" w:name="_Toc513029230"/>
      <w:r>
        <w:rPr>
          <w:rFonts w:hint="eastAsia" w:ascii="宋体" w:hAnsi="宋体" w:cs="宋体"/>
          <w:b/>
          <w:szCs w:val="21"/>
          <w:highlight w:val="none"/>
        </w:rPr>
        <w:t xml:space="preserve">、磋商与评审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1.磋商仪式</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1.1采购人或采购代理机构将在磋商公告中规定的时间和地点组织磋商开始仪式。</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highlight w:val="none"/>
          <w:u w:val="single"/>
        </w:rPr>
        <w:t xml:space="preserve">30分钟</w:t>
      </w:r>
      <w:r>
        <w:rPr>
          <w:rFonts w:hint="eastAsia" w:ascii="宋体" w:hAnsi="宋体" w:cs="宋体"/>
          <w:b/>
          <w:szCs w:val="21"/>
          <w:highlight w:val="none"/>
        </w:rPr>
        <w:t xml:space="preserve">之内完成。</w:t>
      </w:r>
      <w:r>
        <w:rPr>
          <w:rFonts w:hint="eastAsia" w:ascii="宋体" w:hAnsi="宋体" w:cs="宋体"/>
          <w:b/>
          <w:szCs w:val="21"/>
          <w:highlight w:val="none"/>
          <w:u w:val="single"/>
        </w:rPr>
        <w:t xml:space="preserve">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w:t>
      </w:r>
      <w:r>
        <w:rPr>
          <w:rFonts w:hint="eastAsia" w:ascii="宋体" w:hAnsi="宋体" w:cs="宋体"/>
          <w:b/>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1.2磋商活动的文件解密工作由采购代理机构组织。</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szCs w:val="21"/>
          <w:highlight w:val="none"/>
          <w:u w:val="single"/>
        </w:rPr>
        <w:t xml:space="preserve">15分钟</w:t>
      </w:r>
      <w:r>
        <w:rPr>
          <w:rFonts w:hint="eastAsia" w:ascii="宋体" w:hAnsi="宋体" w:cs="宋体"/>
          <w:b/>
          <w:szCs w:val="21"/>
          <w:highlight w:val="none"/>
        </w:rPr>
        <w:t xml:space="preserve">内填写并提交最后报价，未在规定时间内提交最后报价的，视作无效响应处理。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2.磋商小组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2.1磋商开始仪式结束后，采购人或采购代理机构将立即组织磋商小组进行评审。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highlight w:val="none"/>
        </w:rPr>
        <w:t xml:space="preserve">自行选定评审专家。技术</w:t>
      </w:r>
      <w:r>
        <w:rPr>
          <w:rFonts w:hint="eastAsia" w:cs="宋体"/>
          <w:szCs w:val="21"/>
          <w:highlight w:val="none"/>
        </w:rPr>
        <w:t xml:space="preserve">复杂</w:t>
      </w:r>
      <w:r>
        <w:rPr>
          <w:rFonts w:hint="eastAsia"/>
          <w:szCs w:val="21"/>
          <w:highlight w:val="none"/>
        </w:rPr>
        <w:t xml:space="preserve">、专业性强的竞</w:t>
      </w:r>
      <w:r>
        <w:rPr>
          <w:rFonts w:hint="eastAsia" w:ascii="宋体" w:hAnsi="宋体" w:cs="宋体"/>
          <w:szCs w:val="21"/>
          <w:highlight w:val="none"/>
        </w:rPr>
        <w:t xml:space="preserve">争性磋商采购项目，评审专家中应当包含1名法律专家。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2.4磋商小组独立工作，负责评审所有响应文件并确定成交候选人。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3.磋商评审过程的保密与公正</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3.2在磋商评审过程中，磋商供应商不得以任何行为影响磋商评审过程，否则其响应文件将被视为无效响应文件。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3.5在评审期间，采购人或采购代理机构将设立专门人员与供应商联系。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3.6采购人、采购代理机构和磋商小组不向未成交的供应商解释未成交原因，也不公布评审过程中的相关细节。</w:t>
      </w:r>
      <w:bookmarkEnd w:id="38"/>
      <w:bookmarkEnd w:id="39"/>
      <w:bookmarkEnd w:id="40"/>
      <w:bookmarkEnd w:id="87"/>
      <w:bookmarkEnd w:id="88"/>
      <w:bookmarkEnd w:id="89"/>
      <w:r/>
    </w:p>
    <w:p>
      <w:pPr>
        <w:ind w:firstLine="480"/>
        <w:pageBreakBefore w:val="0"/>
        <w:spacing w:line="360" w:lineRule="auto"/>
        <w:rPr>
          <w:rFonts w:hint="eastAsia" w:ascii="宋体" w:hAnsi="宋体" w:cs="宋体"/>
          <w:szCs w:val="21"/>
          <w:highlight w:val="none"/>
        </w:rPr>
      </w:pPr>
      <w:r/>
      <w:bookmarkStart w:id="90" w:name="_Toc86268901"/>
      <w:r>
        <w:rPr>
          <w:rFonts w:hint="eastAsia" w:ascii="宋体" w:hAnsi="宋体" w:cs="宋体"/>
          <w:szCs w:val="21"/>
          <w:highlight w:val="none"/>
        </w:rPr>
        <w:t xml:space="preserve">4.评审过程的澄清</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4.1</w:t>
      </w:r>
      <w:r>
        <w:rPr>
          <w:rFonts w:hint="eastAsia" w:ascii="宋体" w:hAnsi="宋体" w:cs="宋体"/>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4.2</w:t>
      </w:r>
      <w:r>
        <w:rPr>
          <w:rFonts w:hint="eastAsia" w:ascii="宋体" w:hAnsi="宋体" w:cs="宋体"/>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4.3接到磋商小组</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要求的供应商应按磋商小组规定的时间和格式做出</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的内容作为响应文件的补充部分，但实质性的内容不得做任何更改。</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5.对响应文件的审查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5.1响应文件初审分为资格性审查和符合性审查。</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5.1.1资格性检查：</w:t>
      </w:r>
      <w:r>
        <w:rPr>
          <w:rFonts w:hint="eastAsia" w:ascii="宋体" w:hAnsi="宋体" w:cs="宋体"/>
          <w:szCs w:val="21"/>
          <w:highlight w:val="none"/>
          <w:lang w:val="zh-CN"/>
        </w:rPr>
        <w:t xml:space="preserve">依据法律法规和磋商文件的规定，由采购人对响应文件中的资格审查文件进行审查。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采购人在进行资格审查的同时，将在“信用中国”网站查询供应商的信用记录，以确定供应商是否具备磋商资格。</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5.1.3未通过资格审查或符合性审查的供应商，</w:t>
      </w:r>
      <w:r>
        <w:rPr>
          <w:rFonts w:hint="eastAsia" w:ascii="宋体" w:hAnsi="宋体" w:cs="宋体"/>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5.2</w:t>
      </w:r>
      <w:r>
        <w:rPr>
          <w:rFonts w:hint="eastAsia" w:ascii="宋体" w:hAnsi="宋体" w:cs="宋体"/>
          <w:szCs w:val="21"/>
          <w:highlight w:val="none"/>
          <w:lang w:val="zh-CN"/>
        </w:rPr>
        <w:t xml:space="preserve">在正式磋商之前</w:t>
      </w:r>
      <w:r>
        <w:rPr>
          <w:rFonts w:hint="eastAsia" w:ascii="宋体" w:hAnsi="宋体" w:cs="宋体"/>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5.7供应商在评审全过程中应保持通信畅通，并安排专人与采购人或采购代理机构及磋商小组联系。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6.响应文件线上格式要求</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6.1供应商应当通过“苏采云”系统提交数据电文形式的响应文件（即电子投标）。</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6.2通过“苏采云”系统提交政府采购客户端工具导出加密的响应文件（后缀名为zip）。</w:t>
      </w:r>
      <w:r>
        <w:rPr>
          <w:rFonts w:hint="eastAsia" w:ascii="宋体" w:hAnsi="宋体" w:cs="宋体"/>
          <w:b/>
          <w:bCs/>
          <w:szCs w:val="21"/>
          <w:highlight w:val="none"/>
        </w:rPr>
        <w:t xml:space="preserve">响应文件不得超过150M</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6.3本项目采用线上投标，即供应商响应文件从政府采购客户端工具制作通过“苏采云”系统提交，未提供线上响应文件的，投标无效。</w:t>
      </w:r>
      <w:bookmarkStart w:id="91" w:name="_Toc120614219"/>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7.被认定为未实质性响应磋商文件的情形：</w:t>
      </w:r>
      <w:r/>
    </w:p>
    <w:p>
      <w:pPr>
        <w:ind w:firstLine="482"/>
        <w:pageBreakBefore w:val="0"/>
        <w:spacing w:line="360" w:lineRule="auto"/>
        <w:rPr>
          <w:rFonts w:hint="eastAsia" w:ascii="宋体" w:hAnsi="宋体" w:cs="宋体"/>
          <w:b/>
          <w:szCs w:val="21"/>
          <w:highlight w:val="none"/>
        </w:rPr>
      </w:pPr>
      <w:r>
        <w:rPr>
          <w:rFonts w:hint="eastAsia" w:ascii="宋体" w:hAnsi="宋体" w:cs="宋体"/>
          <w:b/>
          <w:bCs/>
          <w:szCs w:val="21"/>
          <w:highlight w:val="none"/>
        </w:rPr>
        <w:t xml:space="preserve">7.1出现下列情形之一的，作无效响应处理，</w:t>
      </w:r>
      <w:r>
        <w:rPr>
          <w:rFonts w:hint="eastAsia" w:ascii="宋体" w:hAnsi="宋体" w:cs="宋体"/>
          <w:b/>
          <w:szCs w:val="21"/>
          <w:highlight w:val="none"/>
        </w:rPr>
        <w:t xml:space="preserve">并视情报监管部门调查其相互串通投标嫌疑。</w:t>
      </w:r>
      <w:r>
        <w:rPr>
          <w:rFonts w:hint="eastAsia" w:ascii="宋体" w:hAnsi="宋体" w:cs="宋体"/>
          <w:b/>
          <w:bCs/>
          <w:szCs w:val="21"/>
          <w:highlight w:val="none"/>
        </w:rPr>
        <w:tab/>
      </w:r>
      <w:r>
        <w:rPr>
          <w:rFonts w:hint="eastAsia" w:ascii="宋体" w:hAnsi="宋体" w:cs="宋体"/>
          <w:b/>
          <w:szCs w:val="21"/>
          <w:highlight w:val="none"/>
        </w:rPr>
        <w:tab/>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7.1.1供应商在规定的时间内未在苏采云系统内成功提交磋商响应文件的。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7.1.2未完整提交响应文件的。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7.1.3同一供应商提交两个（含两个）以上不同的响应报价的。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7.1.4不具备磋商文件中规定的资格要求的。 </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7.1.5供应商在系统规定的时间内未成功解密电子响应文件的。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7.1.6未完整上传响应文件电子文档的，或上传的文件打不开的。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7.1.8响应报价超过了采购预算或最高限价的。 </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7.1.9未通过符合性检查的。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7.1.10不符合法律法规和磋商文件中规定的其他实质性要求的。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7.1.12响应文件含有采购人不能接受的附加条件的。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7.1.14响应文件未按照磋商文件要求加盖电子签章。</w:t>
      </w:r>
      <w:r/>
    </w:p>
    <w:p>
      <w:pPr>
        <w:ind w:firstLine="482"/>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rPr>
          <w:rFonts w:hint="eastAsia" w:ascii="宋体" w:hAnsi="宋体" w:cs="宋体"/>
          <w:b/>
          <w:szCs w:val="21"/>
          <w:highlight w:val="none"/>
        </w:rPr>
      </w:pPr>
      <w:r>
        <w:rPr>
          <w:rFonts w:hint="eastAsia" w:ascii="宋体" w:hAnsi="宋体" w:cs="宋体"/>
          <w:b/>
          <w:bCs/>
          <w:szCs w:val="21"/>
          <w:highlight w:val="none"/>
        </w:rPr>
        <w:t xml:space="preserve">7.1.15</w:t>
      </w:r>
      <w:r>
        <w:rPr>
          <w:rFonts w:hint="eastAsia" w:ascii="宋体" w:hAnsi="宋体" w:cs="宋体"/>
          <w:b/>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7.1.16不同供应商委托同一单位或者个人办理磋商事宜；不同供应商的磋商响应文件错漏之处雷同；</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7.1.17不同供应商的响应文件载明的项目管理成员或者联系人员为同一人；</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7.1.18不同供应商的响应文件异常一致或者响应报价呈规律性差异；</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7.1.19供应商之间相互约定，一致抬高或压低投标报价；</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7.1.20供应商之间相互约定，在招标项目中轮流以高价位或低价位成交；</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7.1.21磋商小组一致认定判定为无效响应的；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7.1.22不同的供应商响应文件制作机器码、文件创建标识码一致的。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其他法律法规及本磋商文件规定的属无效响应的情形：</w:t>
      </w:r>
      <w:r/>
    </w:p>
    <w:p>
      <w:pPr>
        <w:ind w:firstLine="482"/>
        <w:pageBreakBefore w:val="0"/>
        <w:spacing w:line="360" w:lineRule="auto"/>
        <w:rPr>
          <w:rFonts w:hint="eastAsia" w:ascii="宋体" w:hAnsi="宋体" w:cs="宋体"/>
          <w:b/>
          <w:szCs w:val="21"/>
          <w:highlight w:val="none"/>
        </w:rPr>
      </w:pPr>
      <w:r>
        <w:rPr>
          <w:rFonts w:hint="eastAsia" w:ascii="宋体" w:hAnsi="宋体" w:cs="宋体"/>
          <w:b/>
          <w:bCs/>
          <w:szCs w:val="21"/>
          <w:highlight w:val="none"/>
        </w:rPr>
        <w:t xml:space="preserve">7.2</w:t>
      </w:r>
      <w:r>
        <w:rPr>
          <w:rFonts w:hint="eastAsia" w:ascii="宋体" w:hAnsi="宋体" w:cs="宋体"/>
          <w:b/>
          <w:szCs w:val="21"/>
          <w:highlight w:val="none"/>
        </w:rPr>
        <w:t xml:space="preserve">凡磋商响应文件有下列情形之一的，属于重大偏差，视同未能对采购文件作出实质性响应，按废标处理。 </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7.2.1法人授权委托书或投标函未加盖投标供应商公章（或电子印章）的；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7.2.2未按采购文件规定的格式填写，内容不全或关键字迹模糊、无法辨认的； </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7.2.4磋商响应文件载明的项目完成期限超过采购文件规定的期限；</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7.2.5明显不符合技术规范、技术标准的要求，或者对采购文件质量要求未明确响应的；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7.2.6投标报价低于成本或者高于采购文件规定的最高限价（招标控制价）的；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7.2.7磋商响应文件载明的货物包装方式、检验标准和方法等不符合采购文件的要求；</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7.2.8组成联合体参加磋商活动的，磋商响应文件未附联合体各方共同投标协议的；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7.2.10未按采购文件要求提供磋商响应文件内容不全的；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7.2.11以他人的名义投标、串通投标、以行贿手段谋取中标或者以其他弄虚作假方式投标的；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7.3出现下列情形之一的，磋商失败</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7.3.2出现影响采购公正的违法违规行为的；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7.3.3因重大变故，采购任务取消的。</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7.3.4磋商小组认定磋商文件存在歧义、重大缺陷导致评审工作无法进行。</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7.3.5因系统故障原因造成磋商无法继续进行的</w:t>
      </w:r>
      <w:r>
        <w:rPr>
          <w:rFonts w:hint="eastAsia" w:ascii="宋体" w:hAnsi="宋体" w:cs="宋体"/>
          <w:b/>
          <w:szCs w:val="21"/>
          <w:highlight w:val="none"/>
        </w:rPr>
        <w:t xml:space="preserve">（适用于不见面磋商模式）</w:t>
      </w:r>
      <w:r>
        <w:rPr>
          <w:rFonts w:hint="eastAsia" w:ascii="宋体" w:hAnsi="宋体" w:cs="宋体"/>
          <w:b/>
          <w:bCs/>
          <w:szCs w:val="21"/>
          <w:highlight w:val="none"/>
        </w:rPr>
        <w:t xml:space="preserve">。</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7.4 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截止时间结束后参加磋商的供应商不足三家的处理：</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7.4.1如出现响应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截止时间结束后参加磋商的供应商或者在评审期间对磋商文件做出实质响应的供应商不足三家情况，按政府采购相关规定执行。</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六</w:t>
      </w:r>
      <w:bookmarkEnd w:id="91"/>
      <w:r>
        <w:rPr>
          <w:rFonts w:hint="eastAsia" w:ascii="宋体" w:hAnsi="宋体" w:cs="宋体"/>
          <w:b/>
          <w:szCs w:val="21"/>
          <w:highlight w:val="none"/>
        </w:rPr>
        <w:t xml:space="preserve">、成交</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1.确定成交单位</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1.1成交候选供应商的选取原则和数量见磋商文件第四部分规定。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1.4.1提供虚假材料谋取成交的。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1.4.3恶意竞争，最后报价明显低于其自身合理成本且又无法提供证明的。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1.4.5</w:t>
      </w:r>
      <w:r>
        <w:rPr>
          <w:rFonts w:hint="eastAsia" w:ascii="宋体" w:hAnsi="宋体" w:cs="宋体"/>
          <w:szCs w:val="21"/>
          <w:highlight w:val="none"/>
          <w:lang w:val="zh-CN"/>
        </w:rPr>
        <w:t xml:space="preserve">与评审专家、采购人、</w:t>
      </w:r>
      <w:r>
        <w:rPr>
          <w:rFonts w:hint="eastAsia" w:ascii="宋体" w:hAnsi="宋体" w:cs="宋体"/>
          <w:szCs w:val="21"/>
          <w:highlight w:val="none"/>
        </w:rPr>
        <w:t xml:space="preserve">其他</w:t>
      </w:r>
      <w:r>
        <w:rPr>
          <w:rFonts w:hint="eastAsia" w:ascii="宋体" w:hAnsi="宋体" w:cs="宋体"/>
          <w:szCs w:val="21"/>
          <w:highlight w:val="none"/>
          <w:lang w:val="zh-CN"/>
        </w:rPr>
        <w:t xml:space="preserve">供应商或者采购</w:t>
      </w:r>
      <w:r>
        <w:rPr>
          <w:rFonts w:hint="eastAsia" w:ascii="宋体" w:hAnsi="宋体" w:cs="宋体"/>
          <w:szCs w:val="21"/>
          <w:highlight w:val="none"/>
        </w:rPr>
        <w:t xml:space="preserve">代理机构</w:t>
      </w:r>
      <w:r>
        <w:rPr>
          <w:rFonts w:hint="eastAsia" w:ascii="宋体" w:hAnsi="宋体" w:cs="宋体"/>
          <w:szCs w:val="21"/>
          <w:highlight w:val="none"/>
          <w:lang w:val="zh-CN"/>
        </w:rPr>
        <w:t xml:space="preserve">工作人员恶意串通的</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1.4.6采取不正当手段诋毁、排挤其他供应商的。</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1.4.7</w:t>
      </w:r>
      <w:r>
        <w:rPr>
          <w:rFonts w:hint="eastAsia" w:ascii="宋体" w:hAnsi="宋体" w:cs="宋体"/>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1.4.8</w:t>
      </w:r>
      <w:r>
        <w:rPr>
          <w:rFonts w:hint="eastAsia" w:ascii="宋体" w:hAnsi="宋体" w:cs="宋体"/>
          <w:szCs w:val="21"/>
          <w:highlight w:val="none"/>
          <w:lang w:val="zh-CN"/>
        </w:rPr>
        <w:t xml:space="preserve">将政府采购合同转包的。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七、成交通知书</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ff0000"/>
          <w:szCs w:val="21"/>
          <w:highlight w:val="none"/>
        </w:rPr>
      </w:pPr>
      <w:r>
        <w:rPr>
          <w:rFonts w:hint="eastAsia" w:ascii="宋体" w:hAnsi="宋体" w:cs="宋体"/>
          <w:b/>
          <w:bCs/>
          <w:color w:val="ff0000"/>
          <w:szCs w:val="21"/>
          <w:highlight w:val="none"/>
        </w:rPr>
        <w:t xml:space="preserve">特别说明：成交供应商在下载成交通知书后7个工作日内提供</w:t>
      </w:r>
      <w:r>
        <w:rPr>
          <w:rFonts w:hint="eastAsia" w:ascii="宋体" w:hAnsi="宋体" w:cs="宋体"/>
          <w:b/>
          <w:bCs/>
          <w:color w:val="ff0000"/>
          <w:szCs w:val="21"/>
          <w:highlight w:val="none"/>
          <w:u w:val="single"/>
        </w:rPr>
        <w:t xml:space="preserve">3套</w:t>
      </w:r>
      <w:r>
        <w:rPr>
          <w:rFonts w:hint="eastAsia" w:ascii="宋体" w:hAnsi="宋体" w:cs="宋体"/>
          <w:b/>
          <w:bCs/>
          <w:color w:val="ff0000"/>
          <w:szCs w:val="21"/>
          <w:highlight w:val="none"/>
        </w:rPr>
        <w:t xml:space="preserve">加盖红章的系统内打印的纸质响应文件给采购代理机构。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八、授予合同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1.签订合同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签订合同时需做好提交各类声明函、承诺函、业绩证明、资质、证书等相应原件的核查准备；核查后发现虚假或违背承诺的，依照相关法律法规的规定处理。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1.3签订合同后，成交供应商不得将合同标的进行转包。未经采购人同意，</w:t>
      </w:r>
      <w:r>
        <w:rPr>
          <w:rFonts w:hint="eastAsia" w:ascii="宋体" w:hAnsi="宋体" w:cs="宋体"/>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 货物和服务的追加、减少和添购</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九、电子招标投标交易平台</w:t>
      </w:r>
      <w:r/>
    </w:p>
    <w:p>
      <w:pPr>
        <w:ind w:firstLine="480"/>
        <w:pageBreakBefore w:val="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szCs w:val="21"/>
          <w:highlight w:val="none"/>
          <w:lang w:eastAsia="en-US"/>
        </w:rPr>
        <w:t xml:space="preserve">http://jszfcg.jsczt.cn/）相关要求是本采购文件的组成部分。</w:t>
      </w:r>
      <w:r>
        <w:rPr>
          <w:rFonts w:hint="eastAsia" w:ascii="宋体" w:hAnsi="宋体" w:cs="宋体"/>
          <w:szCs w:val="21"/>
          <w:highlight w:val="none"/>
          <w:lang w:eastAsia="en-US"/>
        </w:rPr>
        <w:fldChar w:fldCharType="end"/>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十、履约保证金</w:t>
      </w:r>
      <w:r/>
    </w:p>
    <w:p>
      <w:pPr>
        <w:ind w:firstLine="42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本项目不收取履约保证金。</w:t>
      </w:r>
      <w:r/>
    </w:p>
    <w:p>
      <w:pPr>
        <w:ind w:firstLine="422"/>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十一、质疑提出和处理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（一）质疑的提出</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cs="宋体"/>
          <w:szCs w:val="21"/>
          <w:highlight w:val="none"/>
        </w:rPr>
        <w:t xml:space="preserve">1.</w:t>
      </w:r>
      <w:r>
        <w:rPr>
          <w:rFonts w:hint="eastAsia" w:ascii="宋体" w:hAnsi="宋体"/>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对采购过程提出质疑的，为各采购程序环节结束之日；</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对成交结果提出质疑的，为成交结果公告期限届满之日。</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rPr>
          <w:rFonts w:hint="eastAsia" w:ascii="宋体" w:hAnsi="宋体" w:cs="宋体"/>
          <w:szCs w:val="21"/>
          <w:highlight w:val="none"/>
        </w:rPr>
      </w:pPr>
      <w:r>
        <w:rPr>
          <w:rFonts w:hint="eastAsia" w:ascii="宋体" w:hAnsi="宋体"/>
          <w:szCs w:val="21"/>
          <w:highlight w:val="none"/>
        </w:rPr>
        <w:t xml:space="preserve">3.未参加磋商采购活动的供应商或在磋商采购活动中自身权益未受到损害的供应商所提出的质疑不予受理。</w:t>
      </w:r>
      <w:r>
        <w:rPr>
          <w:rFonts w:hint="eastAsia" w:ascii="宋体" w:hAnsi="宋体" w:cs="宋体"/>
          <w:szCs w:val="21"/>
          <w:highlight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4.质疑函应当包括下列内容：</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（1）质疑供应商的名称、地址、邮编、联系人、联系电话；</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（2）具体的质疑事项及明确的请求；</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（3）认为自己合法权益受到损害或可能受到损害的相关证据材料；</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（4）提起质疑的日期；</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对不能提供相关佐证材料的、涉及商业秘密的、非书面形式的、非送达的、匿名的《质疑函》将不予受理。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采购单位或采购代理机构不负责搜集相关佐证材料等工作。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（二）《质疑函》的受理和回复</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质疑函》须由质疑人的法定代表人或参加本次磋商被授权人送达采购单位和采购代理机构。质疑答复依据《政府采购质疑和投诉办法》（财政部令第94号）。采购人或采购代理机构质疑接收人及联系方式，见磋商</w:t>
      </w:r>
      <w:r>
        <w:rPr>
          <w:rFonts w:hint="eastAsia"/>
          <w:szCs w:val="21"/>
          <w:highlight w:val="none"/>
        </w:rPr>
        <w:t xml:space="preserve">文件第一部分。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（三）质疑处理</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1.代理机构收到质疑函后，将对质疑函的形式和内容进行审查，如质疑函内容、格式不符合规定，代理机构将告知质疑人进行补正。</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4.供应商提出书面质疑必须有理、有据，不得恶意质疑或提交虚假质疑。否则，一经查实，代理机构有权依据政府采购的有关规定，报请政府采购监管部门对该供应商进行相应的行政处罚。</w:t>
      </w:r>
      <w:r/>
    </w:p>
    <w:p>
      <w:pPr>
        <w:pageBreakBefore w:val="0"/>
        <w:spacing w:line="360" w:lineRule="auto"/>
        <w:rPr>
          <w:rFonts w:hint="eastAsia" w:ascii="宋体" w:hAnsi="宋体"/>
          <w:b/>
          <w:szCs w:val="21"/>
          <w:highlight w:val="none"/>
        </w:rPr>
      </w:pPr>
      <w:r>
        <w:rPr>
          <w:rFonts w:hint="eastAsia" w:ascii="宋体" w:hAnsi="宋体"/>
          <w:b/>
          <w:szCs w:val="21"/>
          <w:highlight w:val="none"/>
        </w:rPr>
        <w:t xml:space="preserve">十二、其他事项说明：</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采购项目需要落实的政府采购相关法律法规及政策：</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1.《中华人民共和国政府采购法》</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2.《中华人民共和国政府采购法实施条例》</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3.《政府采购竞争性磋商采购方式管理办法》</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4.政府采购促进中小企业发展办法的通知——财库〔2020〕46号 </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4.1若本项目专门面向中小微企业，不再进行价格扣除。</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4.2若本项目不专门面向中小微企业，执行以下政策：</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4.2.1供应商需按照采购文件的要求提供相应的《</w:t>
      </w:r>
      <w:r>
        <w:rPr>
          <w:rFonts w:hint="eastAsia" w:ascii="宋体" w:hAnsi="宋体" w:cs="宋体"/>
          <w:highlight w:val="none"/>
          <w:lang w:val="en-US" w:eastAsia="zh-CN"/>
        </w:rPr>
        <w:t xml:space="preserve">中小</w:t>
      </w:r>
      <w:r>
        <w:rPr>
          <w:rFonts w:hint="eastAsia" w:ascii="宋体" w:hAnsi="宋体" w:cs="宋体"/>
          <w:highlight w:val="none"/>
        </w:rPr>
        <w:t xml:space="preserve">企业声明函》。</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企业标准请参照《关于印发中小企业划型标准规定的通知》（工信部联企业〔2011〕300号）文件规定自行填写。</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4.2.2监狱和戒毒企业</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（1）监狱企业参加政府采购活动时，需提供由省级以上监狱管理局、戒毒管理局（含新疆生产建设兵团）出具的属于监狱企业的证明文件。</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（2）监狱企业标准请参照《关于政府采购支持监狱企业发展有关问题的通知》（财库〔2014〕68号）。</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4.2.3残疾人福利单位</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（1）残疾人福利单位需按照采购文件的要求提供《残疾人福利性单位声明函》。</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（2）残疾人福利单位标准请参照《关于促进残疾人就业政府采购政策的通知》（财库〔2017〕141号）。</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5.残疾人福利单位、监狱企业属于小型、微型企业的，不重复享受政策。</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7.《江苏省财政厅关于进一步加大政府采购支持中小企业力度的通知》苏财购〔2022〕45号</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8.根据《江苏省财政厅关于加强政府绿色采购有关事项的通知》（苏财购〔2023〕65号）文件精神，严格落实政府绿色采购的各项要求。</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9.节能环保</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10.需求标准</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本项目中如有涉及商品包装、快递包装的，应当按照《关于印发〈商品包装政府采购需求标准（试行）〉、〈快递包装政府采购需求标准（试行）〉的通知》（财办库〔2020〕123号）文件执行。</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本项目中如有涉及采购数据中心相关设备、运维服务的，应当按照《关于印发〈绿色数据中心政府采购需求标准（试行）〉的通知》（财办库〔2023〕7号）文件执行。</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11.</w:t>
      </w:r>
      <w:r>
        <w:rPr>
          <w:rFonts w:hint="eastAsia" w:ascii="宋体" w:hAnsi="宋体" w:cs="宋体"/>
          <w:szCs w:val="21"/>
          <w:highlight w:val="none"/>
        </w:rPr>
        <w:t xml:space="preserve">《关于推动解决政府采购异常低价问题相关工作的通知》（苏财购〔2025〕62号）。</w:t>
      </w:r>
      <w:r/>
    </w:p>
    <w:p>
      <w:pPr>
        <w:ind w:firstLine="420"/>
        <w:pageBreakBefore w:val="0"/>
        <w:spacing w:line="360" w:lineRule="auto"/>
        <w:rPr>
          <w:rFonts w:hint="eastAsia" w:ascii="宋体" w:hAnsi="宋体" w:cs="宋体"/>
          <w:highlight w:val="none"/>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highlight w:val="none"/>
        </w:rPr>
        <w:t xml:space="preserve">12.</w:t>
      </w:r>
      <w:r>
        <w:rPr>
          <w:rFonts w:ascii="宋体" w:hAnsi="宋体" w:cs="宋体"/>
          <w:highlight w:val="none"/>
        </w:rPr>
        <w:t xml:space="preserve">成交供应商</w:t>
      </w:r>
      <w:r>
        <w:rPr>
          <w:rFonts w:hint="eastAsia" w:ascii="宋体" w:hAnsi="宋体" w:cs="宋体"/>
          <w:highlight w:val="none"/>
        </w:rPr>
        <w:t xml:space="preserve">可凭政府采购合同办理融资贷款，详情请见泰州市政府采购网“政采贷”专栏。</w:t>
      </w:r>
      <w:r/>
    </w:p>
    <w:p>
      <w:pPr>
        <w:pStyle w:val="900"/>
        <w:numPr>
          <w:ilvl w:val="0"/>
          <w:numId w:val="2"/>
        </w:numPr>
        <w:ind w:firstLine="422"/>
        <w:jc w:val="center"/>
        <w:pageBreakBefore w:val="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合同条款及格式</w:t>
      </w:r>
      <w:bookmarkEnd w:id="90"/>
      <w:r/>
      <w:r/>
    </w:p>
    <w:p>
      <w:pPr>
        <w:pStyle w:val="935"/>
        <w:ind w:left="0"/>
        <w:jc w:val="center"/>
        <w:pageBreakBefore w:val="0"/>
        <w:spacing w:line="360" w:lineRule="auto"/>
        <w:tabs>
          <w:tab w:val="left" w:pos="1050" w:leader="none"/>
          <w:tab w:val="right" w:pos="9402" w:leader="dot"/>
        </w:tabs>
        <w:rPr>
          <w:rFonts w:hint="eastAsia" w:ascii="宋体" w:hAnsi="宋体" w:cs="宋体"/>
          <w:b/>
          <w:iCs/>
          <w:szCs w:val="21"/>
          <w:highlight w:val="none"/>
        </w:rPr>
        <w:outlineLvl w:val="0"/>
      </w:pPr>
      <w:r>
        <w:rPr>
          <w:rFonts w:hint="eastAsia" w:ascii="宋体" w:hAnsi="宋体" w:cs="宋体"/>
          <w:b/>
          <w:iCs/>
          <w:szCs w:val="21"/>
          <w:highlight w:val="none"/>
        </w:rPr>
        <w:t xml:space="preserve"> 合同授予</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一、成交供应商在《成交通知书》</w:t>
      </w:r>
      <w:r>
        <w:rPr>
          <w:rFonts w:hint="eastAsia" w:ascii="宋体" w:hAnsi="宋体" w:cs="宋体"/>
          <w:bCs/>
          <w:szCs w:val="21"/>
          <w:highlight w:val="none"/>
        </w:rPr>
        <w:t xml:space="preserve">发出后30日</w:t>
      </w:r>
      <w:r>
        <w:rPr>
          <w:rFonts w:hint="eastAsia" w:ascii="宋体" w:hAnsi="宋体" w:cs="宋体"/>
          <w:szCs w:val="21"/>
          <w:highlight w:val="none"/>
        </w:rPr>
        <w:t xml:space="preserve">内须按照磋商文件确定的事项签订采购合同。合同一式</w:t>
      </w:r>
      <w:r>
        <w:rPr>
          <w:rFonts w:hint="eastAsia" w:ascii="宋体" w:hAnsi="宋体" w:cs="宋体"/>
          <w:szCs w:val="21"/>
          <w:highlight w:val="none"/>
          <w:lang w:val="en-US" w:eastAsia="zh-CN"/>
        </w:rPr>
        <w:t xml:space="preserve">肆</w:t>
      </w:r>
      <w:r>
        <w:rPr>
          <w:rFonts w:hint="eastAsia" w:ascii="宋体" w:hAnsi="宋体" w:cs="宋体"/>
          <w:szCs w:val="21"/>
          <w:highlight w:val="none"/>
        </w:rPr>
        <w:t xml:space="preserve">份，采购单位</w:t>
      </w:r>
      <w:r>
        <w:rPr>
          <w:rFonts w:hint="eastAsia" w:ascii="宋体" w:hAnsi="宋体" w:cs="宋体"/>
          <w:szCs w:val="21"/>
          <w:highlight w:val="none"/>
          <w:lang w:val="en-US" w:eastAsia="zh-CN"/>
        </w:rPr>
        <w:t xml:space="preserve">两</w:t>
      </w:r>
      <w:r>
        <w:rPr>
          <w:rFonts w:hint="eastAsia" w:ascii="宋体" w:hAnsi="宋体" w:cs="宋体"/>
          <w:szCs w:val="21"/>
          <w:highlight w:val="none"/>
        </w:rPr>
        <w:t xml:space="preserve">份、供应商两份。所签合同不得对磋商文件作实质性修改。采购单位不得向成交供应商提出不合理的要求作为签订合同的条件，不得与成交供应商私下订立背离磋商文件实质性内容的协议。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七、付款方式详见磋商文件第四章。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八、项目款的支付不计息。</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936"/>
        <w:jc w:val="center"/>
        <w:pageBreakBefore w:val="0"/>
        <w:spacing w:before="0" w:after="0" w:line="360" w:lineRule="auto"/>
        <w:rPr>
          <w:rFonts w:hint="eastAsia" w:ascii="宋体" w:hAnsi="宋体" w:cs="宋体"/>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92" w:name="_Toc87985472"/>
      <w:r/>
      <w:bookmarkStart w:id="93" w:name="_Toc498006744"/>
      <w:r/>
      <w:r/>
    </w:p>
    <w:p>
      <w:pPr>
        <w:pStyle w:val="951"/>
        <w:ind w:firstLine="210"/>
        <w:jc w:val="center"/>
        <w:pageBreakBefore w:val="0"/>
        <w:spacing w:line="360" w:lineRule="auto"/>
        <w:rPr>
          <w:rFonts w:hint="eastAsia" w:ascii="黑体" w:hAnsi="宋体" w:eastAsia="黑体"/>
          <w:b/>
          <w:sz w:val="32"/>
          <w:szCs w:val="32"/>
          <w:highlight w:val="none"/>
        </w:rPr>
      </w:pPr>
      <w:r/>
      <w:bookmarkStart w:id="94" w:name="_Toc86268902"/>
      <w:r>
        <w:rPr>
          <w:rFonts w:hint="eastAsia" w:ascii="黑体" w:hAnsi="宋体" w:eastAsia="黑体"/>
          <w:b/>
          <w:sz w:val="32"/>
          <w:szCs w:val="32"/>
          <w:highlight w:val="none"/>
          <w:lang w:eastAsia="zh-CN"/>
        </w:rPr>
        <w:t xml:space="preserve">泰州市网络安全监管服务2025</w:t>
      </w:r>
      <w:r>
        <w:rPr>
          <w:rFonts w:hint="eastAsia" w:ascii="黑体" w:hAnsi="宋体" w:eastAsia="黑体"/>
          <w:b/>
          <w:sz w:val="32"/>
          <w:szCs w:val="32"/>
          <w:highlight w:val="none"/>
        </w:rPr>
        <w:t xml:space="preserve">合同</w:t>
      </w:r>
      <w:r/>
    </w:p>
    <w:p>
      <w:pPr>
        <w:pStyle w:val="952"/>
        <w:rPr>
          <w:rFonts w:hint="eastAsia"/>
        </w:rPr>
      </w:pPr>
      <w:r>
        <w:rPr>
          <w:rFonts w:hint="eastAsia"/>
        </w:rPr>
      </w:r>
      <w:r/>
    </w:p>
    <w:p>
      <w:pPr>
        <w:pStyle w:val="952"/>
        <w:ind w:left="0" w:firstLine="0"/>
        <w:jc w:val="both"/>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eastAsia="宋体" w:cs="宋体"/>
          <w:sz w:val="21"/>
          <w:szCs w:val="21"/>
          <w:highlight w:val="none"/>
          <w:lang w:val="en-US" w:eastAsia="zh-CN" w:bidi="ar-SA"/>
        </w:rPr>
        <w:t xml:space="preserve">项目名称：泰州市网络安全监管服务2025 </w:t>
      </w:r>
      <w:r>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项目编号：JSZC-321200-HQGC-C2025-0063</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甲方</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乙方</w:t>
      </w:r>
      <w:r>
        <w:rPr>
          <w:rFonts w:hint="eastAsia" w:ascii="宋体" w:hAnsi="宋体"/>
          <w:b/>
          <w:bCs/>
          <w:color w:val="000000" w:themeColor="text1"/>
          <w:szCs w:val="21"/>
          <w:highlight w:val="none"/>
          <w:lang w:eastAsia="zh-CN"/>
          <w14:textFill>
            <w14:solidFill>
              <w14:schemeClr w14:val="tx1"/>
            </w14:solidFill>
          </w14:textFill>
        </w:rPr>
        <w:t xml:space="preserve">：</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地址：                                            地址：</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项目竞争性磋商采购结果及采购文件的要求</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经协商一致</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达成如下采购服务合同</w:t>
      </w:r>
      <w:r>
        <w:rPr>
          <w:rFonts w:hint="eastAsia" w:ascii="宋体" w:hAnsi="宋体"/>
          <w:color w:val="000000" w:themeColor="text1"/>
          <w:szCs w:val="21"/>
          <w:highlight w:val="none"/>
          <w:lang w:eastAsia="zh-CN"/>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一、采购标的</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（一）服务名称：</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r/>
    </w:p>
    <w:p>
      <w:pPr>
        <w:ind w:firstLine="420"/>
        <w:pageBreakBefore w:val="0"/>
        <w:spacing w:line="360" w:lineRule="auto"/>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二、合同价款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（一）本合同总价款为人民币（大写）      元整（¥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三、合同履行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本合同项下服务的提供参照采购文件的具体要求履行，甲乙双方通过补充条款进行特殊约定的从其约定。</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四、验收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五、合同责任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（一）甲方应当为乙方履行合同提供必要的支持。</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（三）乙方需加强安全操作，如发生安全责任事故，由乙方全权负责。</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（四）乙方在履行合同中产生的一切非因甲方过错导致的损失，均由乙方自行承担责任。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（五）甲乙双方均应指定专人作为本合同履行期间双方之间的联络人，所有一方向相对方正式知会事项的通知到达相对方指定联络人即视为到达对方。</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本项目不收取履约保证金。</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hint="eastAsia" w:ascii="宋体" w:hAnsi="宋体"/>
          <w:b/>
          <w:bCs/>
          <w:color w:val="000000" w:themeColor="text1"/>
          <w:szCs w:val="21"/>
          <w:highlight w:val="none"/>
          <w:lang w:val="en-US" w:eastAsia="zh-CN"/>
          <w14:textFill>
            <w14:solidFill>
              <w14:schemeClr w14:val="tx1"/>
            </w14:solidFill>
          </w14:textFill>
        </w:rPr>
        <w:t xml:space="preserve">合同付款</w:t>
      </w:r>
      <w:r/>
    </w:p>
    <w:p>
      <w:p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1.本项目合同履约期间按实际完成任务量及供应商成交的总价格结算。采购人</w:t>
      </w:r>
      <w:r>
        <w:rPr>
          <w:rFonts w:hint="eastAsia" w:ascii="宋体" w:hAnsi="宋体" w:cs="宋体"/>
          <w:color w:val="000000"/>
          <w:szCs w:val="21"/>
          <w:highlight w:val="none"/>
          <w:lang w:val="en-US" w:eastAsia="zh-CN"/>
        </w:rPr>
        <w:t xml:space="preserve">根据</w:t>
      </w:r>
      <w:r>
        <w:rPr>
          <w:rFonts w:hint="eastAsia" w:ascii="宋体" w:hAnsi="宋体" w:cs="宋体"/>
          <w:color w:val="000000"/>
          <w:szCs w:val="21"/>
          <w:highlight w:val="none"/>
        </w:rPr>
        <w:t xml:space="preserve">供应商的实际完成</w:t>
      </w:r>
      <w:r>
        <w:rPr>
          <w:rFonts w:hint="eastAsia" w:ascii="宋体" w:hAnsi="宋体" w:cs="宋体"/>
          <w:color w:val="000000"/>
          <w:szCs w:val="21"/>
          <w:highlight w:val="none"/>
          <w:lang w:val="en-US" w:eastAsia="zh-CN"/>
        </w:rPr>
        <w:t xml:space="preserve">服务内容</w:t>
      </w:r>
      <w:r>
        <w:rPr>
          <w:rFonts w:hint="eastAsia" w:ascii="宋体" w:hAnsi="宋体" w:cs="宋体"/>
          <w:color w:val="000000"/>
          <w:szCs w:val="21"/>
          <w:highlight w:val="none"/>
        </w:rPr>
        <w:t xml:space="preserve">按阶段支付费用。</w:t>
      </w:r>
      <w:r/>
    </w:p>
    <w:p>
      <w:pPr>
        <w:pStyle w:val="909"/>
        <w:contextualSpacing/>
        <w:ind w:left="0"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2.供应商结账时需开具正式发票并附合同复印件；发票上标注的名称、账号、开户行应与收款人一致。</w:t>
      </w:r>
      <w:r/>
    </w:p>
    <w:p>
      <w:pPr>
        <w:ind w:firstLine="420"/>
        <w:pageBreakBefore w:val="0"/>
        <w:spacing w:line="360" w:lineRule="auto"/>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3.合同签订生效且甲方收到乙方提供有效的票据后，支付合同总价的60%；合同期满后，支付合同总价的40%（以上不计利息）。</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付款方式为：银行划拨支付。</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八、保密条款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乙方不得将在履行本合同中知悉的甲方任何信息随意泄露、擅自使用。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九、争议的解决</w:t>
      </w:r>
      <w:r/>
    </w:p>
    <w:p>
      <w:pPr>
        <w:contextualSpacing/>
        <w:ind w:firstLine="420"/>
        <w:pageBreakBefore w:val="0"/>
        <w:spacing w:line="360" w:lineRule="auto"/>
        <w:rPr>
          <w:rFonts w:ascii="宋体" w:hAnsi="宋体"/>
          <w:highlight w:val="none"/>
        </w:rPr>
      </w:pPr>
      <w:r>
        <w:rPr>
          <w:rFonts w:ascii="宋体" w:hAnsi="宋体"/>
          <w:highlight w:val="none"/>
        </w:rPr>
        <w:t xml:space="preserve">1.</w:t>
      </w:r>
      <w:r>
        <w:rPr>
          <w:rFonts w:hint="eastAsia" w:ascii="宋体" w:hAnsi="宋体"/>
          <w:highlight w:val="none"/>
        </w:rPr>
        <w:t xml:space="preserve">因履行本合同引起的或与本合同有关的争议，甲、乙双方应首先通过友好协商解决，如果协商不能解决争议，则采取以下第</w:t>
      </w:r>
      <w:r>
        <w:rPr>
          <w:rFonts w:hint="eastAsia" w:ascii="宋体" w:hAnsi="宋体"/>
          <w:b/>
          <w:highlight w:val="none"/>
        </w:rPr>
        <w:t xml:space="preserve">（</w:t>
      </w:r>
      <w:r>
        <w:rPr>
          <w:rFonts w:hint="eastAsia" w:ascii="宋体" w:hAnsi="宋体"/>
          <w:b/>
          <w:highlight w:val="none"/>
          <w:lang w:val="en-US" w:eastAsia="zh-CN"/>
        </w:rPr>
        <w:t xml:space="preserve">   </w:t>
      </w:r>
      <w:r>
        <w:rPr>
          <w:rFonts w:hint="eastAsia" w:ascii="宋体" w:hAnsi="宋体"/>
          <w:b/>
          <w:highlight w:val="none"/>
        </w:rPr>
        <w:t xml:space="preserve">）</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1</w:t>
      </w:r>
      <w:r>
        <w:rPr>
          <w:rFonts w:hint="eastAsia" w:ascii="宋体" w:hAnsi="宋体"/>
          <w:highlight w:val="none"/>
        </w:rPr>
        <w:t xml:space="preserve">）向甲方所在地有管辖权的人民法院提起诉讼；</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）向泰州仲裁委员会按其仲裁规则申请仲裁。</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如没有约定，默认采取第</w:t>
      </w:r>
      <w:r>
        <w:rPr>
          <w:rFonts w:ascii="宋体" w:hAnsi="宋体"/>
          <w:highlight w:val="none"/>
        </w:rPr>
        <w:t xml:space="preserve">2</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ascii="宋体" w:hAnsi="宋体"/>
          <w:highlight w:val="none"/>
        </w:rPr>
        <w:t xml:space="preserve">2.</w:t>
      </w:r>
      <w:r>
        <w:rPr>
          <w:rFonts w:hint="eastAsia" w:ascii="宋体" w:hAnsi="宋体"/>
          <w:highlight w:val="none"/>
        </w:rPr>
        <w:t xml:space="preserve">在仲裁期间，本合同应继续履行。</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十、合同生效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本合同由甲乙双方签字盖章后生效。</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十一、组成本合同的文件包括：</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1.合同通用条款和专用条款；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2.采购文件和乙方的响应文件；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3.成交通知书；</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4.甲乙双方商定的其他必要文件。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上述合同文件内容互为补充，如有不明确，由甲方负责解释。</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十二、合同备案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肆</w:t>
      </w:r>
      <w:r>
        <w:rPr>
          <w:rFonts w:hint="eastAsia" w:ascii="宋体" w:hAnsi="宋体"/>
          <w:color w:val="000000" w:themeColor="text1"/>
          <w:szCs w:val="21"/>
          <w:highlight w:val="none"/>
          <w14:textFill>
            <w14:solidFill>
              <w14:schemeClr w14:val="tx1"/>
            </w14:solidFill>
          </w14:textFill>
        </w:rPr>
        <w:t xml:space="preserve">份，中文书写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、乙方</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925"/>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925"/>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925"/>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2"/>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以下无正文内容。</w:t>
      </w:r>
      <w:r/>
    </w:p>
    <w:p>
      <w:pPr>
        <w:pStyle w:val="925"/>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r>
      <w:r/>
    </w:p>
    <w:p>
      <w:pPr>
        <w:pStyle w:val="925"/>
        <w:pageBreakBefore w:val="0"/>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default" w:ascii="宋体" w:hAnsi="宋体"/>
          <w:color w:val="000000" w:themeColor="text1"/>
          <w:szCs w:val="21"/>
          <w:highlight w:val="none"/>
          <w:lang w:val="en-US" w:eastAsia="zh-CN"/>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        （盖章）                                 乙方：      （盖章）</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法定（授权）代表人：                                   法定（授权）代表人：</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二〇二五年</w:t>
      </w:r>
      <w:r>
        <w:rPr>
          <w:rFonts w:hint="eastAsia" w:ascii="宋体" w:hAnsi="宋体"/>
          <w:color w:val="000000" w:themeColor="text1"/>
          <w:szCs w:val="21"/>
          <w:highlight w:val="none"/>
          <w14:textFill>
            <w14:solidFill>
              <w14:schemeClr w14:val="tx1"/>
            </w14:solidFill>
          </w14:textFill>
        </w:rPr>
        <w:t xml:space="preserve">     月    日</w:t>
      </w:r>
      <w:r/>
    </w:p>
    <w:p>
      <w:pPr>
        <w:ind w:right="210" w:firstLine="63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sectPr>
          <w:footerReference w:type="default" r:id="rId14"/>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r>
      <w:r/>
    </w:p>
    <w:p>
      <w:pPr>
        <w:pStyle w:val="900"/>
        <w:numPr>
          <w:ilvl w:val="0"/>
          <w:numId w:val="2"/>
        </w:numPr>
        <w:ind w:firstLine="422"/>
        <w:jc w:val="center"/>
        <w:pageBreakBefore w:val="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项目需求</w:t>
      </w:r>
      <w:bookmarkEnd w:id="94"/>
      <w:r/>
      <w:r/>
    </w:p>
    <w:p>
      <w:pPr>
        <w:ind w:firstLine="422"/>
        <w:pageBreakBefore w:val="0"/>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lang w:eastAsia="zh-CN"/>
        </w:rPr>
        <w:t xml:space="preserve">一、项目</w:t>
      </w:r>
      <w:r>
        <w:rPr>
          <w:rFonts w:hint="eastAsia" w:ascii="宋体" w:hAnsi="宋体" w:cs="宋体"/>
          <w:b/>
          <w:sz w:val="21"/>
          <w:szCs w:val="21"/>
          <w:highlight w:val="none"/>
          <w:lang w:val="en-US" w:eastAsia="zh-CN"/>
        </w:rPr>
        <w:t xml:space="preserve">背景</w:t>
      </w:r>
      <w:r/>
    </w:p>
    <w:p>
      <w:pPr>
        <w:ind w:firstLine="420"/>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为认真贯彻落实习近平总书记关于网络强国工作的重要思想和党的二十届四中全会精神，认真贯彻落实习近平总书记在党的二十大报告中强调：“推进国家安全体系和能力现代化，坚决维护国家安全和社会稳定。”网络安全作为网络强国、数字中国的底座，将在未来的发展中承担托底的重担，是我国现代化产业体系中不可或缺的部分。市委网信办拟继续优化完善网络安全技术支撑服务外包项目内容，以实现对全市网络安全监测、预警、防护、通报、追溯和处置工作的一体化、实时化，提升“以技兴网、以技管网、以技治网”的能力水平。</w:t>
      </w:r>
      <w:r/>
    </w:p>
    <w:p>
      <w:pPr>
        <w:ind w:firstLine="420"/>
        <w:pageBreakBefore w:val="0"/>
        <w:spacing w:line="360" w:lineRule="auto"/>
        <w:rPr>
          <w:rFonts w:hint="eastAsia"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基于大数据分析技术，对全市重要信息系统进行综合管理和安全综合分析，实现全域立体化的网络资产测绘、安全事件检测、流量安全监测、数据安全管理，提供网安行动服务等工作支撑，最终实现全网网络安全态势可见、风险威胁可知、信息通报统一、应急处置高效。同时，实现网络安全行动的综合管理，高效协同支撑市委网信办网络安全工作。</w:t>
      </w:r>
      <w:r>
        <w:rPr>
          <w:rFonts w:hint="eastAsia" w:ascii="宋体" w:hAnsi="宋体" w:eastAsia="宋体" w:cs="宋体"/>
          <w:szCs w:val="21"/>
          <w:highlight w:val="none"/>
          <w:lang w:val="en-US" w:eastAsia="zh-CN"/>
        </w:rPr>
        <w:t xml:space="preserve">为此，建设此项目。</w:t>
      </w:r>
      <w:r/>
    </w:p>
    <w:p>
      <w:pPr>
        <w:ind w:firstLine="422"/>
        <w:pageBreakBefore w:val="0"/>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二、服务内容</w:t>
      </w:r>
      <w:r/>
    </w:p>
    <w:tbl>
      <w:tblPr>
        <w:tblStyle w:val="905"/>
        <w:tblW w:w="7762" w:type="dxa"/>
        <w:jc w:val="center"/>
        <w:tblLayout w:type="autofit"/>
        <w:tblCellMar>
          <w:left w:w="108" w:type="dxa"/>
          <w:top w:w="0" w:type="dxa"/>
          <w:right w:w="108" w:type="dxa"/>
          <w:bottom w:w="0" w:type="dxa"/>
        </w:tblCellMar>
        <w:tblLook w:val="04A0" w:firstRow="1" w:lastRow="0" w:firstColumn="1" w:lastColumn="0" w:noHBand="0" w:noVBand="1"/>
      </w:tblPr>
      <w:tblGrid>
        <w:gridCol w:w="846"/>
        <w:gridCol w:w="2475"/>
        <w:gridCol w:w="4441"/>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46" w:type="dxa"/>
            <w:vAlign w:val="center"/>
            <w:textDirection w:val="lrTb"/>
            <w:noWrap/>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序号</w:t>
            </w:r>
            <w:r/>
          </w:p>
        </w:tc>
        <w:tc>
          <w:tcPr>
            <w:gridSpan w:val="2"/>
            <w:shd w:val="clear" w:color="auto" w:fill="auto"/>
            <w:tcBorders>
              <w:top w:val="single" w:color="000000" w:sz="8" w:space="0"/>
              <w:left w:val="none" w:color="000000" w:sz="4" w:space="0"/>
              <w:bottom w:val="single" w:color="000000" w:sz="8" w:space="0"/>
              <w:right w:val="single" w:color="000000" w:sz="8" w:space="0"/>
            </w:tcBorders>
            <w:tcW w:w="6916" w:type="dxa"/>
            <w:vAlign w:val="center"/>
            <w:textDirection w:val="lrTb"/>
            <w:noWrap/>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项目内容</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restart"/>
            <w:textDirection w:val="lrTb"/>
            <w:noWrap/>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restart"/>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资产探测服务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重要资产管理</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基础资源管理</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资产探测</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restart"/>
            <w:textDirection w:val="lrTb"/>
            <w:noWrap/>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restart"/>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安全监测服务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网络流量监测分析</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网站和信息系统监测</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restart"/>
            <w:textDirection w:val="lrTb"/>
            <w:noWrap/>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restart"/>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态势感知服务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网络安全综合态势</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威胁事件态势</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资产态势</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安全漏洞监测态势</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通报预警态势</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地域/行业安全态势</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restart"/>
            <w:textDirection w:val="lrTb"/>
            <w:noWrap/>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restart"/>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通报处置服务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通报数据订阅服务</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实时告警</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restart"/>
            <w:textDirection w:val="lrTb"/>
            <w:noWrap/>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restart"/>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数据安全服务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APP个人信息保护</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APP检测</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restart"/>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restart"/>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应急演练服务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网络安全技术支撑队伍管理</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vMerge w:val="continue"/>
            <w:textDirection w:val="lrTb"/>
            <w:noWrap w:val="false"/>
          </w:tcPr>
          <w:p>
            <w:pPr>
              <w:ind w:firstLine="420"/>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应急预案和演练记录管理</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网安行动服务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“网安行动”监管指挥</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数据安全风险评估服务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数据安全风险评估服务</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846"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475"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人员驻场服务</w:t>
            </w:r>
            <w:r/>
          </w:p>
        </w:tc>
        <w:tc>
          <w:tcPr>
            <w:shd w:val="clear" w:color="auto" w:fill="auto"/>
            <w:tcBorders>
              <w:top w:val="none" w:color="000000" w:sz="4" w:space="0"/>
              <w:left w:val="none" w:color="000000" w:sz="4" w:space="0"/>
              <w:bottom w:val="single" w:color="000000" w:sz="8" w:space="0"/>
              <w:right w:val="single" w:color="000000" w:sz="8" w:space="0"/>
            </w:tcBorders>
            <w:tcW w:w="4441" w:type="dxa"/>
            <w:vAlign w:val="center"/>
            <w:textDirection w:val="lrTb"/>
            <w:noWrap w:val="false"/>
          </w:tcPr>
          <w:p>
            <w:pPr>
              <w:jc w:val="center"/>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提供2名驻场人员</w:t>
            </w:r>
            <w:r/>
          </w:p>
        </w:tc>
      </w:tr>
    </w:tbl>
    <w:p>
      <w:pPr>
        <w:ind w:firstLine="422"/>
        <w:pageBreakBefore w:val="0"/>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三、具体要求</w:t>
      </w:r>
      <w:r/>
    </w:p>
    <w:p>
      <w:pPr>
        <w:ind w:firstLine="420"/>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网络安全综合管理平台按照属地化管理要求，建设横向联动、纵向贯通，与全省一体化应急指挥体系相衔接的网信技术体系，其技术构架主要由应急指挥中心物理环境、基础设施和应用系统构成。</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1.资产探测服务</w:t>
      </w:r>
      <w:r/>
    </w:p>
    <w:p>
      <w:pPr>
        <w:ind w:firstLine="420"/>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（1）重要资产管理</w:t>
      </w:r>
      <w:r/>
    </w:p>
    <w:p>
      <w:pPr>
        <w:ind w:firstLine="420"/>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支持对重要资产进行重点精确管理，重点单位资产管理按地区、行业进行分级管理展示。管理的信息包含重点单位信息，及其重要信息系统信息、出口IP信息，并进行多维度的分析、统计，按下属区域划分、行业两个维度分别进行统计、展示。</w:t>
      </w:r>
      <w:r/>
    </w:p>
    <w:p>
      <w:pPr>
        <w:ind w:firstLine="420"/>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支持对重要资产按地域、行业两个维度进行划分管理，实现重要资产划归各区县、各行业进行管理，同时支持按地域、行业维度进行单位数量、信息系统数量、出口IP数量的分析、统计。</w:t>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w:t>
      </w:r>
      <w:r>
        <w:rPr>
          <w:rFonts w:hint="default" w:ascii="宋体" w:hAnsi="宋体" w:eastAsia="宋体" w:cs="宋体"/>
          <w:b/>
          <w:bCs/>
          <w:szCs w:val="21"/>
          <w:highlight w:val="none"/>
          <w:lang w:val="en-US" w:eastAsia="zh-CN"/>
        </w:rPr>
        <w:t xml:space="preserve">基础资源管理</w:t>
      </w:r>
      <w:r/>
    </w:p>
    <w:p>
      <w:pPr>
        <w:ind w:firstLine="420"/>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全网资产管理包含IP综合管理、网站综合管理。支持对基础资源管理的搜索、增加、删除、修改、查看、导入及导出、资产信息更新等功能。</w:t>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w:t>
      </w:r>
      <w:r>
        <w:rPr>
          <w:rFonts w:hint="default" w:ascii="宋体" w:hAnsi="宋体" w:eastAsia="宋体" w:cs="宋体"/>
          <w:b/>
          <w:bCs/>
          <w:szCs w:val="21"/>
          <w:highlight w:val="none"/>
          <w:lang w:val="en-US" w:eastAsia="zh-CN"/>
        </w:rPr>
        <w:t xml:space="preserve">资产探测</w:t>
      </w:r>
      <w:r/>
    </w:p>
    <w:p>
      <w:pPr>
        <w:ind w:firstLine="420"/>
        <w:pageBreakBefore w:val="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基于网络空间资产测绘专用引擎采用主动探测方式对泰州市内重点资产进行探测梳理，支持常用端口、全端口扫描，满足用户在不同场景下的资产探测需求。</w:t>
      </w:r>
      <w:r/>
    </w:p>
    <w:p>
      <w:pPr>
        <w:ind w:firstLine="420"/>
        <w:pageBreakBefore w:val="0"/>
        <w:spacing w:line="360" w:lineRule="auto"/>
        <w:rPr>
          <w:rFonts w:hint="default" w:ascii="宋体" w:hAnsi="宋体" w:eastAsia="宋体" w:cs="宋体"/>
          <w:b w:val="0"/>
          <w:bCs w:val="0"/>
          <w:szCs w:val="21"/>
          <w:highlight w:val="none"/>
          <w:lang w:val="en-US" w:eastAsia="zh-CN"/>
        </w:rPr>
      </w:pPr>
      <w:r>
        <w:rPr>
          <w:rFonts w:hint="default" w:ascii="宋体" w:hAnsi="宋体" w:eastAsia="宋体" w:cs="宋体"/>
          <w:szCs w:val="21"/>
          <w:highlight w:val="none"/>
          <w:lang w:val="en-US" w:eastAsia="zh-CN"/>
        </w:rPr>
        <w:t xml:space="preserve">同时，丰富的设备指纹积累，可以进行从操作系统、开放端口、承载服务以及所用组件等方面提供资产信息。使资产数据更完善，资产信息更全面</w:t>
      </w:r>
      <w:r>
        <w:rPr>
          <w:rFonts w:hint="default" w:ascii="宋体" w:hAnsi="宋体" w:eastAsia="宋体" w:cs="宋体"/>
          <w:sz w:val="21"/>
          <w:szCs w:val="21"/>
          <w:highlight w:val="none"/>
          <w:lang w:val="en-US" w:eastAsia="zh-CN" w:bidi="ar-SA"/>
        </w:rPr>
        <w:t xml:space="preserve">。根据指定的重点单位名称，提供探测发现重点单位</w:t>
      </w:r>
      <w:r>
        <w:rPr>
          <w:rFonts w:hint="default" w:ascii="宋体" w:hAnsi="宋体" w:eastAsia="宋体" w:cs="宋体"/>
          <w:b w:val="0"/>
          <w:bCs w:val="0"/>
          <w:szCs w:val="21"/>
          <w:highlight w:val="none"/>
          <w:lang w:val="en-US" w:eastAsia="zh-CN"/>
        </w:rPr>
        <w:t xml:space="preserve">10万条以内的IP资产数据及端口、应用情况。</w:t>
      </w:r>
      <w:r/>
    </w:p>
    <w:p>
      <w:pPr>
        <w:ind w:firstLine="420"/>
        <w:pageBreakBefore w:val="0"/>
        <w:spacing w:line="360" w:lineRule="auto"/>
        <w:rPr>
          <w:rFonts w:hint="default" w:ascii="宋体" w:hAnsi="宋体" w:eastAsia="宋体" w:cs="宋体"/>
          <w:b/>
          <w:bCs/>
          <w:szCs w:val="21"/>
          <w:highlight w:val="none"/>
          <w:lang w:val="en-US" w:eastAsia="zh-CN"/>
        </w:rPr>
      </w:pPr>
      <w:r/>
      <w:bookmarkStart w:id="95" w:name="_Toc25796"/>
      <w:r>
        <w:rPr>
          <w:rFonts w:hint="eastAsia" w:ascii="宋体" w:hAnsi="宋体" w:eastAsia="宋体" w:cs="宋体"/>
          <w:b/>
          <w:bCs/>
          <w:szCs w:val="21"/>
          <w:highlight w:val="none"/>
          <w:lang w:val="en-US" w:eastAsia="zh-CN"/>
        </w:rPr>
        <w:t xml:space="preserve">2.</w:t>
      </w:r>
      <w:r>
        <w:rPr>
          <w:rFonts w:hint="default" w:ascii="宋体" w:hAnsi="宋体" w:eastAsia="宋体" w:cs="宋体"/>
          <w:b/>
          <w:bCs/>
          <w:szCs w:val="21"/>
          <w:highlight w:val="none"/>
          <w:lang w:val="en-US" w:eastAsia="zh-CN"/>
        </w:rPr>
        <w:t xml:space="preserve">安全监测服务</w:t>
      </w:r>
      <w:bookmarkEnd w:id="95"/>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w:t>
      </w:r>
      <w:r>
        <w:rPr>
          <w:rFonts w:hint="default" w:ascii="宋体" w:hAnsi="宋体" w:eastAsia="宋体" w:cs="宋体"/>
          <w:b/>
          <w:bCs/>
          <w:szCs w:val="21"/>
          <w:highlight w:val="none"/>
          <w:lang w:val="en-US" w:eastAsia="zh-CN"/>
        </w:rPr>
        <w:t xml:space="preserve">网络流量监测分析</w:t>
      </w:r>
      <w:r/>
    </w:p>
    <w:p>
      <w:pPr>
        <w:ind w:firstLine="420"/>
        <w:pageBreakBefore w:val="0"/>
        <w:spacing w:line="360" w:lineRule="auto"/>
        <w:rPr>
          <w:rFonts w:hint="default"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 xml:space="preserve">针对全市的网络资产，基于网络流量监测分析，每日提供实时安全事件监测线索。安全事件包括但不限于僵尸网络、木马、网站挂马、网页篡改、网页后门等，通过与江苏分中心掌握的全量基础资源匹配，对上述事件能够溯源定位到单位、源IP、目的IP、时间、安全事件类型、文件类型、恶意程序类型、url等信息。</w:t>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w:t>
      </w:r>
      <w:r>
        <w:rPr>
          <w:rFonts w:hint="default" w:ascii="宋体" w:hAnsi="宋体" w:eastAsia="宋体" w:cs="宋体"/>
          <w:b/>
          <w:bCs/>
          <w:szCs w:val="21"/>
          <w:highlight w:val="none"/>
          <w:lang w:val="en-US" w:eastAsia="zh-CN"/>
        </w:rPr>
        <w:t xml:space="preserve">网络和信息系统监测</w:t>
      </w:r>
      <w:r/>
    </w:p>
    <w:p>
      <w:pPr>
        <w:ind w:firstLine="420"/>
        <w:pageBreakBefore w:val="0"/>
        <w:spacing w:line="360" w:lineRule="auto"/>
        <w:rPr>
          <w:rFonts w:hint="default"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 xml:space="preserve">对重要资产（2000个重点网站和重要信息系统）进行安全事件检测分析，检测类型至少包含SQL注入、XSS跨站、WebShell、目录遍</w:t>
      </w:r>
      <w:r>
        <w:rPr>
          <w:rFonts w:hint="default" w:ascii="宋体" w:hAnsi="宋体" w:eastAsia="宋体" w:cs="宋体"/>
          <w:b w:val="0"/>
          <w:bCs w:val="0"/>
          <w:sz w:val="21"/>
          <w:szCs w:val="21"/>
          <w:highlight w:val="none"/>
          <w:lang w:val="en-US" w:eastAsia="zh-CN" w:bidi="ar-SA"/>
        </w:rPr>
        <w:t xml:space="preserve">历、命令执行、敏感信息泄露、弱口令、跨站请求伪造、权限绕过、远程代码执行、系统配置不当等。在不突破总监测能力的</w:t>
      </w:r>
      <w:r>
        <w:rPr>
          <w:rFonts w:hint="default" w:ascii="宋体" w:hAnsi="宋体" w:eastAsia="宋体" w:cs="宋体"/>
          <w:sz w:val="21"/>
          <w:szCs w:val="21"/>
          <w:highlight w:val="none"/>
          <w:lang w:val="en-US" w:eastAsia="zh-CN" w:bidi="ar-SA"/>
        </w:rPr>
        <w:t xml:space="preserve">情况下，支持定期批量调整监测的重要</w:t>
      </w:r>
      <w:r>
        <w:rPr>
          <w:rFonts w:hint="default" w:ascii="宋体" w:hAnsi="宋体" w:eastAsia="宋体" w:cs="宋体"/>
          <w:b w:val="0"/>
          <w:bCs w:val="0"/>
          <w:szCs w:val="21"/>
          <w:highlight w:val="none"/>
          <w:lang w:val="en-US" w:eastAsia="zh-CN"/>
        </w:rPr>
        <w:t xml:space="preserve">资产目录，对新调整的重要资产进行及时监测分析。</w:t>
      </w:r>
      <w:r/>
    </w:p>
    <w:p>
      <w:pPr>
        <w:ind w:firstLine="420"/>
        <w:pageBreakBefore w:val="0"/>
        <w:spacing w:line="360" w:lineRule="auto"/>
        <w:rPr>
          <w:rFonts w:hint="default" w:ascii="宋体" w:hAnsi="宋体" w:eastAsia="宋体" w:cs="宋体"/>
          <w:b/>
          <w:bCs/>
          <w:szCs w:val="21"/>
          <w:highlight w:val="none"/>
          <w:lang w:val="en-US" w:eastAsia="zh-CN"/>
        </w:rPr>
      </w:pPr>
      <w:r/>
      <w:bookmarkStart w:id="96" w:name="_Toc4831"/>
      <w:r>
        <w:rPr>
          <w:rFonts w:hint="eastAsia" w:ascii="宋体" w:hAnsi="宋体" w:eastAsia="宋体" w:cs="宋体"/>
          <w:b/>
          <w:bCs/>
          <w:szCs w:val="21"/>
          <w:highlight w:val="none"/>
          <w:lang w:val="en-US" w:eastAsia="zh-CN"/>
        </w:rPr>
        <w:t xml:space="preserve">3.</w:t>
      </w:r>
      <w:r>
        <w:rPr>
          <w:rFonts w:hint="default" w:ascii="宋体" w:hAnsi="宋体" w:eastAsia="宋体" w:cs="宋体"/>
          <w:b/>
          <w:bCs/>
          <w:szCs w:val="21"/>
          <w:highlight w:val="none"/>
          <w:lang w:val="en-US" w:eastAsia="zh-CN"/>
        </w:rPr>
        <w:t xml:space="preserve">态势感知服务</w:t>
      </w:r>
      <w:bookmarkEnd w:id="96"/>
      <w:r/>
      <w:r/>
    </w:p>
    <w:p>
      <w:pPr>
        <w:ind w:firstLine="420"/>
        <w:pageBreakBefore w:val="0"/>
        <w:spacing w:line="360" w:lineRule="auto"/>
        <w:rPr>
          <w:rFonts w:hint="default"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 xml:space="preserve">包</w:t>
      </w:r>
      <w:r>
        <w:rPr>
          <w:rFonts w:hint="eastAsia" w:ascii="宋体" w:hAnsi="宋体" w:eastAsia="宋体" w:cs="宋体"/>
          <w:b w:val="0"/>
          <w:bCs w:val="0"/>
          <w:szCs w:val="21"/>
          <w:highlight w:val="none"/>
          <w:lang w:val="en-US" w:eastAsia="zh-CN"/>
        </w:rPr>
        <w:t xml:space="preserve">括</w:t>
      </w:r>
      <w:r>
        <w:rPr>
          <w:rFonts w:hint="default" w:ascii="宋体" w:hAnsi="宋体" w:eastAsia="宋体" w:cs="宋体"/>
          <w:b w:val="0"/>
          <w:bCs w:val="0"/>
          <w:szCs w:val="21"/>
          <w:highlight w:val="none"/>
          <w:lang w:val="en-US" w:eastAsia="zh-CN"/>
        </w:rPr>
        <w:t xml:space="preserve">网络安全综合态势、威胁事件态势、资产态势、安全漏洞监测态势、通报预警态势、地域/行业安全态势。</w:t>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w:t>
      </w:r>
      <w:r>
        <w:rPr>
          <w:rFonts w:hint="default" w:ascii="宋体" w:hAnsi="宋体" w:eastAsia="宋体" w:cs="宋体"/>
          <w:b/>
          <w:bCs/>
          <w:szCs w:val="21"/>
          <w:highlight w:val="none"/>
          <w:lang w:val="en-US" w:eastAsia="zh-CN"/>
        </w:rPr>
        <w:t xml:space="preserve">网络安全综合态势</w:t>
      </w:r>
      <w:r/>
    </w:p>
    <w:p>
      <w:pPr>
        <w:ind w:firstLine="420"/>
        <w:pageBreakBefore w:val="0"/>
        <w:spacing w:line="360" w:lineRule="auto"/>
        <w:rPr>
          <w:rFonts w:hint="default"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 xml:space="preserve">对整体的安全态势进行实时的监测和可视化展示，包含综合态势、资产态势、事件态势、漏洞态势、指挥态势、重保态势。支持定制化页面展示。</w:t>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w:t>
      </w:r>
      <w:r>
        <w:rPr>
          <w:rFonts w:hint="default" w:ascii="宋体" w:hAnsi="宋体" w:eastAsia="宋体" w:cs="宋体"/>
          <w:b/>
          <w:bCs/>
          <w:szCs w:val="21"/>
          <w:highlight w:val="none"/>
          <w:lang w:val="en-US" w:eastAsia="zh-CN"/>
        </w:rPr>
        <w:t xml:space="preserve">威胁事件态势</w:t>
      </w:r>
      <w:r/>
    </w:p>
    <w:p>
      <w:pPr>
        <w:ind w:firstLine="420"/>
        <w:pageBreakBefore w:val="0"/>
        <w:spacing w:line="360" w:lineRule="auto"/>
        <w:rPr>
          <w:rFonts w:hint="default"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 xml:space="preserve">外部攻击态势支持大屏展示外部攻击态势，包括攻击次数、攻击源IP个数、攻击源地区个数、安全事件、实时攻击监控、遭受攻击排行、活跃攻击源、攻击类型、攻击态势，并支持点击区域/行业/单位可切换展示具体不同维度的信息。</w:t>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w:t>
      </w:r>
      <w:r>
        <w:rPr>
          <w:rFonts w:hint="default" w:ascii="宋体" w:hAnsi="宋体" w:eastAsia="宋体" w:cs="宋体"/>
          <w:b/>
          <w:bCs/>
          <w:szCs w:val="21"/>
          <w:highlight w:val="none"/>
          <w:lang w:val="en-US" w:eastAsia="zh-CN"/>
        </w:rPr>
        <w:t xml:space="preserve">资产态势</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资产态势：资产总数、设备总数、软件服务总数、软件组件总数，资产行业分布，资产地域分布占比，一定时间周期的资产数量分布趋势，设备类型数量和占比，协议分布轮播，展示协议类型和对应的数量。</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单位管理：以列表方式展示所有单位信息。支持单位的增加、修改、删除、分组、批量导入、批量下载、新增设施等，支持可按地域分布、行业分布统计单位数量并排名。</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设施管理：以列表方式展示所有设施信息。支持设施的增加、修改、删除，以及事件删除操作，支持可按地域分布、行业分布统计单位设施数量并排名。</w:t>
      </w:r>
      <w:r/>
    </w:p>
    <w:p>
      <w:pPr>
        <w:ind w:firstLine="486"/>
        <w:pageBreakBefore w:val="0"/>
        <w:spacing w:line="360" w:lineRule="auto"/>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（4）</w:t>
      </w:r>
      <w:r>
        <w:rPr>
          <w:rFonts w:hint="default" w:ascii="宋体" w:hAnsi="宋体" w:eastAsia="宋体" w:cs="宋体"/>
          <w:b/>
          <w:bCs/>
          <w:sz w:val="21"/>
          <w:szCs w:val="21"/>
          <w:highlight w:val="none"/>
          <w:lang w:val="en-US" w:eastAsia="zh-CN" w:bidi="ar-SA"/>
        </w:rPr>
        <w:t xml:space="preserve">安全漏洞监测态势</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显示行业漏洞总数、每个行业漏洞和数量。展示已扫描主机数和正在扫描主机数，不同等级漏洞数量，高危漏洞TOP5数量和漏洞类型及轮播每天监测到高危漏洞总数，漏洞类型TOP5，包含：漏洞ID、名称、主机数、描述等信息。轮播展示近两周和近一月的地域漏洞环比。</w:t>
      </w:r>
      <w:r/>
    </w:p>
    <w:p>
      <w:pPr>
        <w:ind w:firstLine="486"/>
        <w:pageBreakBefore w:val="0"/>
        <w:spacing w:line="360" w:lineRule="auto"/>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（5）</w:t>
      </w:r>
      <w:r>
        <w:rPr>
          <w:rFonts w:hint="default" w:ascii="宋体" w:hAnsi="宋体" w:eastAsia="宋体" w:cs="宋体"/>
          <w:b/>
          <w:bCs/>
          <w:sz w:val="21"/>
          <w:szCs w:val="21"/>
          <w:highlight w:val="none"/>
          <w:lang w:val="en-US" w:eastAsia="zh-CN" w:bidi="ar-SA"/>
        </w:rPr>
        <w:t xml:space="preserve">APP个人信息保护</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通过服务方数据共享，对应用商城和特定网站、论坛APP等多种渠道收集形成泰州市APP的情报线索库进行爬取，以用户上传、URL地址下载等多种方式，实时和周期性的对App违法违规搜集个人信息异常行为进行检测。对于难以判断是否进行违法违规搜集个人信息的APP通过本地虚拟环境进一步分析，从而实现APP个人信息的保护。</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（6）</w:t>
      </w:r>
      <w:r>
        <w:rPr>
          <w:rFonts w:hint="default" w:ascii="宋体" w:hAnsi="宋体" w:eastAsia="宋体" w:cs="宋体"/>
          <w:b/>
          <w:bCs/>
          <w:sz w:val="21"/>
          <w:szCs w:val="21"/>
          <w:highlight w:val="none"/>
          <w:lang w:val="en-US" w:eastAsia="zh-CN" w:bidi="ar-SA"/>
        </w:rPr>
        <w:t xml:space="preserve">通报预警态势</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通报预警态势支持大屏展示通报预警态势，包括通报数量，处置数量，累计通报数量，最新通报事件，各地域通报排名情况，行业分布统计。</w:t>
      </w:r>
      <w:r/>
    </w:p>
    <w:p>
      <w:pPr>
        <w:ind w:firstLine="486"/>
        <w:pageBreakBefore w:val="0"/>
        <w:spacing w:line="360" w:lineRule="auto"/>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（7）</w:t>
      </w:r>
      <w:r>
        <w:rPr>
          <w:rFonts w:hint="default" w:ascii="宋体" w:hAnsi="宋体" w:eastAsia="宋体" w:cs="宋体"/>
          <w:b/>
          <w:bCs/>
          <w:sz w:val="21"/>
          <w:szCs w:val="21"/>
          <w:highlight w:val="none"/>
          <w:lang w:val="en-US" w:eastAsia="zh-CN" w:bidi="ar-SA"/>
        </w:rPr>
        <w:t xml:space="preserve">地区/行业安全态势</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从地域及行业维度分别分析展示资产、漏洞、事件等态势状况。</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按区域展示的态势信息包含区域的资产、事件、漏洞、单位维度的排名，各区域的资产、事件、漏洞的概览等。</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按行业展示的态势信息包含行业的资产、事件、漏洞、单位维度的排名，各行业的资产、事件、漏洞的概览等。</w:t>
      </w:r>
      <w:r/>
    </w:p>
    <w:p>
      <w:pPr>
        <w:ind w:firstLine="486"/>
        <w:pageBreakBefore w:val="0"/>
        <w:spacing w:line="360" w:lineRule="auto"/>
        <w:rPr>
          <w:rFonts w:hint="default" w:ascii="宋体" w:hAnsi="宋体" w:eastAsia="宋体" w:cs="宋体"/>
          <w:b/>
          <w:bCs/>
          <w:sz w:val="21"/>
          <w:szCs w:val="21"/>
          <w:highlight w:val="none"/>
          <w:lang w:val="en-US" w:eastAsia="zh-CN" w:bidi="ar-SA"/>
        </w:rPr>
      </w:pPr>
      <w:r/>
      <w:bookmarkStart w:id="97" w:name="_Toc20468"/>
      <w:r>
        <w:rPr>
          <w:rFonts w:hint="eastAsia" w:ascii="宋体" w:hAnsi="宋体" w:eastAsia="宋体" w:cs="宋体"/>
          <w:b/>
          <w:bCs/>
          <w:sz w:val="21"/>
          <w:szCs w:val="21"/>
          <w:highlight w:val="none"/>
          <w:lang w:val="en-US" w:eastAsia="zh-CN" w:bidi="ar-SA"/>
        </w:rPr>
        <w:t xml:space="preserve">4.</w:t>
      </w:r>
      <w:r>
        <w:rPr>
          <w:rFonts w:hint="default" w:ascii="宋体" w:hAnsi="宋体" w:eastAsia="宋体" w:cs="宋体"/>
          <w:b/>
          <w:bCs/>
          <w:sz w:val="21"/>
          <w:szCs w:val="21"/>
          <w:highlight w:val="none"/>
          <w:lang w:val="en-US" w:eastAsia="zh-CN" w:bidi="ar-SA"/>
        </w:rPr>
        <w:t xml:space="preserve">通报处置服务</w:t>
      </w:r>
      <w:bookmarkEnd w:id="97"/>
      <w:r/>
      <w:r/>
    </w:p>
    <w:p>
      <w:pPr>
        <w:ind w:firstLine="486"/>
        <w:pageBreakBefore w:val="0"/>
        <w:spacing w:line="360" w:lineRule="auto"/>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（1）</w:t>
      </w:r>
      <w:r>
        <w:rPr>
          <w:rFonts w:hint="default" w:ascii="宋体" w:hAnsi="宋体" w:eastAsia="宋体" w:cs="宋体"/>
          <w:b/>
          <w:bCs/>
          <w:sz w:val="21"/>
          <w:szCs w:val="21"/>
          <w:highlight w:val="none"/>
          <w:lang w:val="en-US" w:eastAsia="zh-CN" w:bidi="ar-SA"/>
        </w:rPr>
        <w:t xml:space="preserve">通报平台</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通报数据订阅服务负责网络安全事件通报信息的录入创建、核验、派发、处置、审核、归档等整体流程流转，将风险威胁信息模板化，形成电子化通报文件下发至相关单位进行处置。主要从通报角度出发，获取相关单位的威胁信息通报下发至对应单位进行处置以及系统整体通报检索等功能。</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支撑泰州市委网信办做好网络安全信息通报服务工作。承担全市网络安全预警、信息收集、报告接收、信息通报、风险核验、协调处置等具体相关工作。集成通报中心、数据统计等功能，能够客观便捷展示通报的事件状态、详细信息、处置流程图等，同时系统会生成反馈表附件的链接，用户可线上反馈。能够和江苏省网络安全事件通报与协同处置平台进行接口自动对接。</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能够基于监测、人工录入所产生的数据，根据综合分析业务需求，采用工单的形式对威胁事件进行通报。</w:t>
      </w:r>
      <w:r/>
    </w:p>
    <w:p>
      <w:pPr>
        <w:ind w:firstLine="486"/>
        <w:pageBreakBefore w:val="0"/>
        <w:spacing w:line="360" w:lineRule="auto"/>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（2）</w:t>
      </w:r>
      <w:r>
        <w:rPr>
          <w:rFonts w:hint="default" w:ascii="宋体" w:hAnsi="宋体" w:eastAsia="宋体" w:cs="宋体"/>
          <w:b/>
          <w:bCs/>
          <w:sz w:val="21"/>
          <w:szCs w:val="21"/>
          <w:highlight w:val="none"/>
          <w:lang w:val="en-US" w:eastAsia="zh-CN" w:bidi="ar-SA"/>
        </w:rPr>
        <w:t xml:space="preserve">实时告警</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针对任务结果、漏洞情况等支持通知和告警，通知告警包含短信、邮箱两种形式，用户可自行选择绑定对应通知渠道。支持对用户按照管理类别、区域进行分类。</w:t>
      </w:r>
      <w:r/>
    </w:p>
    <w:p>
      <w:pPr>
        <w:ind w:firstLine="486"/>
        <w:pageBreakBefore w:val="0"/>
        <w:spacing w:line="360" w:lineRule="auto"/>
        <w:rPr>
          <w:rFonts w:hint="default" w:ascii="宋体" w:hAnsi="宋体" w:eastAsia="宋体" w:cs="宋体"/>
          <w:b/>
          <w:bCs/>
          <w:sz w:val="21"/>
          <w:szCs w:val="21"/>
          <w:highlight w:val="none"/>
          <w:lang w:val="en-US" w:eastAsia="zh-CN" w:bidi="ar-SA"/>
        </w:rPr>
      </w:pPr>
      <w:r/>
      <w:bookmarkStart w:id="98" w:name="_Toc14456"/>
      <w:r>
        <w:rPr>
          <w:rFonts w:hint="eastAsia" w:ascii="宋体" w:hAnsi="宋体" w:eastAsia="宋体" w:cs="宋体"/>
          <w:b/>
          <w:bCs/>
          <w:sz w:val="21"/>
          <w:szCs w:val="21"/>
          <w:highlight w:val="none"/>
          <w:lang w:val="en-US" w:eastAsia="zh-CN" w:bidi="ar-SA"/>
        </w:rPr>
        <w:t xml:space="preserve">5.</w:t>
      </w:r>
      <w:r>
        <w:rPr>
          <w:rFonts w:hint="default" w:ascii="宋体" w:hAnsi="宋体" w:eastAsia="宋体" w:cs="宋体"/>
          <w:b/>
          <w:bCs/>
          <w:sz w:val="21"/>
          <w:szCs w:val="21"/>
          <w:highlight w:val="none"/>
          <w:lang w:val="en-US" w:eastAsia="zh-CN" w:bidi="ar-SA"/>
        </w:rPr>
        <w:t xml:space="preserve">数据安全服务</w:t>
      </w:r>
      <w:bookmarkEnd w:id="98"/>
      <w:r/>
      <w:r/>
    </w:p>
    <w:p>
      <w:pPr>
        <w:ind w:firstLine="486"/>
        <w:pageBreakBefore w:val="0"/>
        <w:spacing w:line="360" w:lineRule="auto"/>
        <w:rPr>
          <w:rFonts w:hint="default" w:ascii="宋体" w:hAnsi="宋体" w:eastAsia="宋体" w:cs="宋体"/>
          <w:b/>
          <w:bCs/>
          <w:sz w:val="21"/>
          <w:szCs w:val="21"/>
          <w:highlight w:val="none"/>
          <w:lang w:val="en-US" w:eastAsia="zh-CN" w:bidi="ar-SA"/>
        </w:rPr>
      </w:pPr>
      <w:r>
        <w:rPr>
          <w:rFonts w:hint="default" w:ascii="宋体" w:hAnsi="宋体" w:eastAsia="宋体" w:cs="宋体"/>
          <w:b/>
          <w:bCs/>
          <w:sz w:val="21"/>
          <w:szCs w:val="21"/>
          <w:highlight w:val="none"/>
          <w:lang w:val="en-US" w:eastAsia="zh-CN" w:bidi="ar-SA"/>
        </w:rPr>
        <w:t xml:space="preserve">APP检测</w:t>
      </w:r>
      <w:r/>
    </w:p>
    <w:p>
      <w:pPr>
        <w:ind w:firstLine="486"/>
        <w:pageBreakBefore w:val="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支持APP上报进行违法违规检测，支持手动样本上传、下载地址上传两种检测方式。</w:t>
      </w:r>
      <w:r>
        <w:rPr>
          <w:rFonts w:hint="eastAsia" w:ascii="宋体" w:hAnsi="宋体" w:eastAsia="宋体" w:cs="宋体"/>
          <w:sz w:val="21"/>
          <w:szCs w:val="21"/>
          <w:highlight w:val="none"/>
          <w:lang w:val="en-US" w:eastAsia="zh-CN" w:bidi="ar-SA"/>
        </w:rPr>
        <w:t xml:space="preserve">并生成APP检测报告。</w:t>
      </w:r>
      <w:r/>
    </w:p>
    <w:p>
      <w:pPr>
        <w:ind w:firstLine="422"/>
        <w:pageBreakBefore w:val="0"/>
        <w:spacing w:line="360" w:lineRule="auto"/>
        <w:shd w:val="clear" w:color="auto" w:fill="ffffff"/>
        <w:widowControl/>
        <w:rPr>
          <w:rFonts w:hint="default" w:ascii="宋体" w:hAnsi="宋体" w:eastAsia="宋体" w:cs="宋体"/>
          <w:b/>
          <w:bCs/>
          <w:sz w:val="21"/>
          <w:szCs w:val="21"/>
          <w:highlight w:val="none"/>
          <w:lang w:val="en-US" w:eastAsia="zh-CN" w:bidi="ar-SA"/>
        </w:rPr>
      </w:pPr>
      <w:r/>
      <w:bookmarkStart w:id="99" w:name="_Toc32214"/>
      <w:r>
        <w:rPr>
          <w:rFonts w:hint="eastAsia" w:ascii="宋体" w:hAnsi="宋体" w:eastAsia="宋体" w:cs="宋体"/>
          <w:b/>
          <w:bCs/>
          <w:sz w:val="21"/>
          <w:szCs w:val="21"/>
          <w:highlight w:val="none"/>
          <w:lang w:val="en-US" w:eastAsia="zh-CN" w:bidi="ar-SA"/>
        </w:rPr>
        <w:t xml:space="preserve">6.</w:t>
      </w:r>
      <w:r>
        <w:rPr>
          <w:rFonts w:hint="default" w:ascii="宋体" w:hAnsi="宋体" w:eastAsia="宋体" w:cs="宋体"/>
          <w:b/>
          <w:bCs/>
          <w:sz w:val="21"/>
          <w:szCs w:val="21"/>
          <w:highlight w:val="none"/>
          <w:lang w:val="en-US" w:eastAsia="zh-CN" w:bidi="ar-SA"/>
        </w:rPr>
        <w:t xml:space="preserve">应急演练服务</w:t>
      </w:r>
      <w:bookmarkEnd w:id="99"/>
      <w:r/>
      <w:r/>
    </w:p>
    <w:p>
      <w:pPr>
        <w:ind w:firstLine="422"/>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（1）</w:t>
      </w:r>
      <w:r>
        <w:rPr>
          <w:rFonts w:hint="default" w:ascii="宋体" w:hAnsi="宋体" w:eastAsia="宋体" w:cs="宋体"/>
          <w:b/>
          <w:bCs/>
          <w:sz w:val="21"/>
          <w:szCs w:val="21"/>
          <w:highlight w:val="none"/>
          <w:lang w:val="en-US" w:eastAsia="zh-CN" w:bidi="ar-SA"/>
        </w:rPr>
        <w:t xml:space="preserve">网络安全技术支撑队伍管理</w:t>
      </w:r>
      <w:r/>
    </w:p>
    <w:p>
      <w:pPr>
        <w:ind w:firstLine="420"/>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支持对泰州市网络安全技术支撑队伍进行统一管理，以独立的单位或企业为维度实施对技术支撑队伍的管理，包含支撑队伍的简介及具体信息，包含支撑单位的名称、法人、支撑方向、联系人及联系方式等。</w:t>
      </w:r>
      <w:r/>
    </w:p>
    <w:p>
      <w:pPr>
        <w:ind w:firstLine="422"/>
        <w:pageBreakBefore w:val="0"/>
        <w:spacing w:line="360" w:lineRule="auto"/>
        <w:shd w:val="clear" w:color="auto" w:fill="ffffff"/>
        <w:widowControl/>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（2）</w:t>
      </w:r>
      <w:r>
        <w:rPr>
          <w:rFonts w:hint="default" w:ascii="宋体" w:hAnsi="宋体" w:eastAsia="宋体" w:cs="宋体"/>
          <w:b/>
          <w:bCs/>
          <w:sz w:val="21"/>
          <w:szCs w:val="21"/>
          <w:highlight w:val="none"/>
          <w:lang w:val="en-US" w:eastAsia="zh-CN" w:bidi="ar-SA"/>
        </w:rPr>
        <w:t xml:space="preserve">应急预案和演练记录管理</w:t>
      </w:r>
      <w:r/>
    </w:p>
    <w:p>
      <w:pPr>
        <w:ind w:firstLine="420"/>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系统提供对网络安全事件应急预案的要点进行管理，提前制定相关预案，含记录的新增/导入、编辑、修改、删除、查询等功能。</w:t>
      </w:r>
      <w:r/>
    </w:p>
    <w:p>
      <w:pPr>
        <w:pStyle w:val="902"/>
        <w:ind w:firstLine="422"/>
        <w:keepLines/>
        <w:keepNext/>
        <w:pageBreakBefore w:val="0"/>
        <w:spacing w:before="0" w:after="0" w:line="360" w:lineRule="auto"/>
        <w:widowControl w:val="off"/>
        <w:rPr>
          <w:rFonts w:hint="default" w:ascii="宋体" w:hAnsi="宋体" w:eastAsia="宋体" w:cs="宋体"/>
          <w:b/>
          <w:bCs/>
          <w:sz w:val="21"/>
          <w:szCs w:val="21"/>
          <w:highlight w:val="none"/>
          <w:lang w:val="en-US" w:eastAsia="zh-CN" w:bidi="ar-SA"/>
        </w:rPr>
      </w:pPr>
      <w:r/>
      <w:bookmarkStart w:id="100" w:name="_Toc22124"/>
      <w:r>
        <w:rPr>
          <w:rFonts w:hint="eastAsia" w:ascii="宋体" w:hAnsi="宋体" w:eastAsia="宋体" w:cs="宋体"/>
          <w:b/>
          <w:bCs/>
          <w:sz w:val="21"/>
          <w:szCs w:val="21"/>
          <w:highlight w:val="none"/>
          <w:lang w:val="en-US" w:eastAsia="zh-CN" w:bidi="ar-SA"/>
        </w:rPr>
        <w:t xml:space="preserve">7.</w:t>
      </w:r>
      <w:r>
        <w:rPr>
          <w:rFonts w:hint="default" w:ascii="宋体" w:hAnsi="宋体" w:eastAsia="宋体" w:cs="宋体"/>
          <w:b/>
          <w:bCs/>
          <w:sz w:val="21"/>
          <w:szCs w:val="21"/>
          <w:highlight w:val="none"/>
          <w:lang w:val="en-US" w:eastAsia="zh-CN" w:bidi="ar-SA"/>
        </w:rPr>
        <w:t xml:space="preserve">网安行动服务</w:t>
      </w:r>
      <w:bookmarkEnd w:id="100"/>
      <w:r/>
      <w:r/>
    </w:p>
    <w:p>
      <w:pPr>
        <w:ind w:firstLine="420"/>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对接江苏省网络安全检查监管指挥平台，实现对网安系列行动的全流程监管和统一的数据分析结果展示，解决安全检查过程不透明、检查风险不可控等问题，提供泰州市网安行动的概况管理和展示功能，包含网安行动重点资产上报、行动总览、团队支撑及漏洞统计的管理展示。</w:t>
      </w:r>
      <w:r/>
    </w:p>
    <w:p>
      <w:pPr>
        <w:pStyle w:val="902"/>
        <w:ind w:firstLine="422"/>
        <w:keepLines/>
        <w:keepNext/>
        <w:pageBreakBefore w:val="0"/>
        <w:spacing w:before="0" w:after="0" w:line="360" w:lineRule="auto"/>
        <w:widowControl w:val="off"/>
        <w:rPr>
          <w:rFonts w:hint="default" w:ascii="宋体" w:hAnsi="宋体" w:eastAsia="宋体" w:cs="宋体"/>
          <w:b/>
          <w:bCs/>
          <w:sz w:val="21"/>
          <w:szCs w:val="21"/>
          <w:highlight w:val="none"/>
          <w:lang w:val="en-US" w:eastAsia="zh-CN" w:bidi="ar-SA"/>
        </w:rPr>
      </w:pPr>
      <w:r/>
      <w:bookmarkStart w:id="101" w:name="_Toc8779"/>
      <w:r>
        <w:rPr>
          <w:rFonts w:hint="eastAsia" w:ascii="宋体" w:hAnsi="宋体" w:eastAsia="宋体" w:cs="宋体"/>
          <w:b/>
          <w:bCs/>
          <w:sz w:val="21"/>
          <w:szCs w:val="21"/>
          <w:highlight w:val="none"/>
          <w:lang w:val="en-US" w:eastAsia="zh-CN" w:bidi="ar-SA"/>
        </w:rPr>
        <w:t xml:space="preserve">8.</w:t>
      </w:r>
      <w:r>
        <w:rPr>
          <w:rFonts w:hint="default" w:ascii="宋体" w:hAnsi="宋体" w:eastAsia="宋体" w:cs="宋体"/>
          <w:b/>
          <w:bCs/>
          <w:sz w:val="21"/>
          <w:szCs w:val="21"/>
          <w:highlight w:val="none"/>
          <w:lang w:val="en-US" w:eastAsia="zh-CN" w:bidi="ar-SA"/>
        </w:rPr>
        <w:t xml:space="preserve">数据安全风险评估服务</w:t>
      </w:r>
      <w:bookmarkEnd w:id="101"/>
      <w:r/>
      <w:r/>
    </w:p>
    <w:p>
      <w:pPr>
        <w:ind w:firstLine="420"/>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数据安全风险评估是通过专业团队，采用专业工具对泰州市重要资产数据生命周期中存在的安全隐患和威胁风险进行评估，提高对数据安全的管控能力。完善数据安全管理规范，形成体系建设，提升数据安全管理能力。对数据面临的安全威胁进行评估，形成数据资产威胁性评估报告。从管理、技术等方面进行全面的数据资产脆弱性评估。对数据资产安全属性全面分析，制定适用客户的数据安全管理目标。从而发现内部数据资产存在的安全隐患和存在的风险，根据评估结果可进行有针对性的风险处置。</w:t>
      </w:r>
      <w:r/>
    </w:p>
    <w:p>
      <w:pPr>
        <w:pStyle w:val="902"/>
        <w:ind w:firstLine="422"/>
        <w:keepLines/>
        <w:keepNext/>
        <w:pageBreakBefore w:val="0"/>
        <w:spacing w:before="0" w:after="0" w:line="360" w:lineRule="auto"/>
        <w:widowControl w:val="off"/>
        <w:rPr>
          <w:rFonts w:hint="default" w:ascii="宋体" w:hAnsi="宋体" w:eastAsia="宋体" w:cs="宋体"/>
          <w:sz w:val="21"/>
          <w:szCs w:val="21"/>
          <w:highlight w:val="none"/>
          <w:lang w:val="en-US" w:eastAsia="zh-CN" w:bidi="ar-SA"/>
        </w:rPr>
      </w:pPr>
      <w:r/>
      <w:bookmarkStart w:id="102" w:name="_Toc3775"/>
      <w:r>
        <w:rPr>
          <w:rFonts w:hint="eastAsia" w:ascii="宋体" w:hAnsi="宋体" w:eastAsia="宋体" w:cs="宋体"/>
          <w:b/>
          <w:bCs/>
          <w:sz w:val="21"/>
          <w:szCs w:val="21"/>
          <w:highlight w:val="none"/>
          <w:lang w:val="en-US" w:eastAsia="zh-CN" w:bidi="ar-SA"/>
        </w:rPr>
        <w:t xml:space="preserve">9.</w:t>
      </w:r>
      <w:r>
        <w:rPr>
          <w:rFonts w:hint="default" w:ascii="宋体" w:hAnsi="宋体" w:eastAsia="宋体" w:cs="宋体"/>
          <w:b/>
          <w:bCs/>
          <w:sz w:val="21"/>
          <w:szCs w:val="21"/>
          <w:highlight w:val="none"/>
          <w:lang w:val="en-US" w:eastAsia="zh-CN" w:bidi="ar-SA"/>
        </w:rPr>
        <w:t xml:space="preserve">人员驻场服务</w:t>
      </w:r>
      <w:bookmarkEnd w:id="102"/>
      <w:r/>
      <w:r/>
    </w:p>
    <w:p>
      <w:pPr>
        <w:ind w:firstLine="420"/>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yellow"/>
          <w:lang w:val="en-US" w:eastAsia="zh-CN" w:bidi="ar-SA"/>
        </w:rPr>
        <w:t xml:space="preserve">拟投入本项目成员中，需</w:t>
      </w:r>
      <w:r>
        <w:rPr>
          <w:rFonts w:hint="default" w:ascii="宋体" w:hAnsi="宋体" w:eastAsia="宋体" w:cs="宋体"/>
          <w:sz w:val="21"/>
          <w:szCs w:val="21"/>
          <w:highlight w:val="yellow"/>
          <w:lang w:val="en-US" w:eastAsia="zh-CN" w:bidi="ar-SA"/>
        </w:rPr>
        <w:t xml:space="preserve">提供2人常驻现场5*8运维服务</w:t>
      </w:r>
      <w:r>
        <w:rPr>
          <w:rFonts w:hint="default" w:ascii="宋体" w:hAnsi="宋体" w:eastAsia="宋体" w:cs="宋体"/>
          <w:sz w:val="21"/>
          <w:szCs w:val="21"/>
          <w:highlight w:val="none"/>
          <w:lang w:val="en-US" w:eastAsia="zh-CN" w:bidi="ar-SA"/>
        </w:rPr>
        <w:t xml:space="preserve">，主要负责平台通漏洞核验、漏洞派发、漏洞整改复核以及支撑泰州市委网信办综合工作等。</w:t>
      </w:r>
      <w:r/>
    </w:p>
    <w:p>
      <w:pPr>
        <w:pStyle w:val="902"/>
        <w:ind w:firstLine="422"/>
        <w:keepLines/>
        <w:keepNext/>
        <w:pageBreakBefore w:val="0"/>
        <w:spacing w:before="0" w:after="0" w:line="360" w:lineRule="auto"/>
        <w:widowControl w:val="off"/>
        <w:rPr>
          <w:rFonts w:hint="default" w:ascii="宋体" w:hAnsi="宋体" w:eastAsia="宋体" w:cs="宋体"/>
          <w:b/>
          <w:bCs/>
          <w:sz w:val="21"/>
          <w:szCs w:val="21"/>
          <w:highlight w:val="none"/>
          <w:lang w:val="en-US" w:eastAsia="zh-CN" w:bidi="ar-SA"/>
        </w:rPr>
      </w:pPr>
      <w:r/>
      <w:bookmarkStart w:id="103" w:name="_Toc9820"/>
      <w:r>
        <w:rPr>
          <w:rFonts w:hint="eastAsia" w:ascii="宋体" w:hAnsi="宋体" w:eastAsia="宋体" w:cs="宋体"/>
          <w:b/>
          <w:bCs/>
          <w:sz w:val="21"/>
          <w:szCs w:val="21"/>
          <w:highlight w:val="none"/>
          <w:lang w:val="en-US" w:eastAsia="zh-CN" w:bidi="ar-SA"/>
        </w:rPr>
        <w:t xml:space="preserve">10.</w:t>
      </w:r>
      <w:r>
        <w:rPr>
          <w:rFonts w:hint="default" w:ascii="宋体" w:hAnsi="宋体" w:eastAsia="宋体" w:cs="宋体"/>
          <w:b/>
          <w:bCs/>
          <w:sz w:val="21"/>
          <w:szCs w:val="21"/>
          <w:highlight w:val="none"/>
          <w:lang w:val="en-US" w:eastAsia="zh-CN" w:bidi="ar-SA"/>
        </w:rPr>
        <w:t xml:space="preserve">系统对接</w:t>
      </w:r>
      <w:bookmarkEnd w:id="103"/>
      <w:r>
        <w:rPr>
          <w:rFonts w:hint="default" w:ascii="宋体" w:hAnsi="宋体" w:eastAsia="宋体" w:cs="宋体"/>
          <w:b/>
          <w:bCs/>
          <w:sz w:val="21"/>
          <w:szCs w:val="21"/>
          <w:highlight w:val="none"/>
          <w:lang w:val="en-US" w:eastAsia="zh-CN" w:bidi="ar-SA"/>
        </w:rPr>
        <w:t xml:space="preserve">服务</w:t>
      </w:r>
      <w:r/>
    </w:p>
    <w:p>
      <w:pPr>
        <w:ind w:firstLine="420"/>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网络安全综合管理平台通过API应用接口，为上层应用提供数据调用服务，包括安全事件、安全漏洞管理等，接入省级通报平台，与全省网信系统技术一体化体系互联互通。</w:t>
      </w:r>
      <w:r/>
    </w:p>
    <w:p>
      <w:pPr>
        <w:pStyle w:val="902"/>
        <w:ind w:firstLine="422"/>
        <w:keepLines/>
        <w:keepNext/>
        <w:pageBreakBefore w:val="0"/>
        <w:spacing w:before="0" w:after="0" w:line="360" w:lineRule="auto"/>
        <w:widowControl w:val="off"/>
        <w:rPr>
          <w:rFonts w:hint="default" w:ascii="宋体" w:hAnsi="宋体" w:eastAsia="宋体" w:cs="宋体"/>
          <w:b/>
          <w:bCs/>
          <w:sz w:val="21"/>
          <w:szCs w:val="21"/>
          <w:highlight w:val="none"/>
          <w:lang w:val="en-US" w:eastAsia="zh-CN" w:bidi="ar-SA"/>
        </w:rPr>
      </w:pPr>
      <w:r/>
      <w:bookmarkStart w:id="104" w:name="_Toc63349457"/>
      <w:r/>
      <w:bookmarkStart w:id="105" w:name="_Toc65656931"/>
      <w:r/>
      <w:bookmarkStart w:id="106" w:name="_Toc8452"/>
      <w:r/>
      <w:bookmarkStart w:id="107" w:name="_Toc63345203"/>
      <w:r>
        <w:rPr>
          <w:rFonts w:hint="eastAsia" w:ascii="宋体" w:hAnsi="宋体" w:eastAsia="宋体" w:cs="宋体"/>
          <w:b/>
          <w:bCs/>
          <w:sz w:val="21"/>
          <w:szCs w:val="21"/>
          <w:highlight w:val="none"/>
          <w:lang w:val="en-US" w:eastAsia="zh-CN" w:bidi="ar-SA"/>
        </w:rPr>
        <w:t xml:space="preserve">11.</w:t>
      </w:r>
      <w:r>
        <w:rPr>
          <w:rFonts w:hint="default" w:ascii="宋体" w:hAnsi="宋体" w:eastAsia="宋体" w:cs="宋体"/>
          <w:b/>
          <w:bCs/>
          <w:sz w:val="21"/>
          <w:szCs w:val="21"/>
          <w:highlight w:val="none"/>
          <w:lang w:val="en-US" w:eastAsia="zh-CN" w:bidi="ar-SA"/>
        </w:rPr>
        <w:t xml:space="preserve">系统安全</w:t>
      </w:r>
      <w:bookmarkEnd w:id="104"/>
      <w:r/>
      <w:bookmarkEnd w:id="105"/>
      <w:r/>
      <w:bookmarkEnd w:id="106"/>
      <w:r/>
      <w:bookmarkEnd w:id="107"/>
      <w:r>
        <w:rPr>
          <w:rFonts w:hint="default" w:ascii="宋体" w:hAnsi="宋体" w:eastAsia="宋体" w:cs="宋体"/>
          <w:b/>
          <w:bCs/>
          <w:sz w:val="21"/>
          <w:szCs w:val="21"/>
          <w:highlight w:val="none"/>
          <w:lang w:val="en-US" w:eastAsia="zh-CN" w:bidi="ar-SA"/>
        </w:rPr>
        <w:t xml:space="preserve">服务</w:t>
      </w:r>
      <w:r/>
    </w:p>
    <w:p>
      <w:pPr>
        <w:ind w:firstLine="420"/>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网络安全综合管理平台采用与省网络安全应急指挥中心相同的部署环境及安全保护措施。网络安全综合管理平台设计和建设遵循国家信息系统安全标准，采取措施防止不安全运行状态的出现，设计完整的安全体系，包括访问安全、数据安全、系统安全、使用安全等。从系统设计解决数据录入、维护、存储和传输各环节的数据准确性和保密性处理；依据管理和角色不同，其功能权限、操作权限和数据权限设置也不尽相同，严格实现对权限控制功能；并具有防止非法入侵，病毒攻击和系统崩溃方面的设计和配置。</w:t>
      </w:r>
      <w:r/>
    </w:p>
    <w:p>
      <w:pPr>
        <w:ind w:firstLine="420"/>
        <w:pageBreakBefore w:val="0"/>
        <w:spacing w:line="360" w:lineRule="auto"/>
        <w:rPr>
          <w:rFonts w:hint="eastAsia" w:ascii="宋体" w:hAnsi="宋体" w:eastAsia="宋体" w:cs="宋体"/>
          <w:sz w:val="21"/>
          <w:szCs w:val="21"/>
          <w:highlight w:val="yellow"/>
          <w:lang w:val="en-US" w:eastAsia="zh-CN" w:bidi="ar-SA"/>
        </w:rPr>
      </w:pPr>
      <w:r>
        <w:rPr>
          <w:rFonts w:hint="eastAsia" w:ascii="宋体" w:hAnsi="宋体" w:eastAsia="宋体" w:cs="宋体"/>
          <w:b/>
          <w:bCs/>
          <w:sz w:val="21"/>
          <w:szCs w:val="21"/>
          <w:highlight w:val="yellow"/>
          <w:lang w:val="en-US" w:eastAsia="zh-CN" w:bidi="ar-SA"/>
        </w:rPr>
        <w:t xml:space="preserve">12.本次网络安全监管服务所需安全测试工具要求</w:t>
      </w:r>
      <w:r>
        <w:rPr>
          <w:rFonts w:hint="eastAsia" w:ascii="宋体" w:hAnsi="宋体" w:eastAsia="宋体" w:cs="宋体"/>
          <w:sz w:val="21"/>
          <w:szCs w:val="21"/>
          <w:highlight w:val="yellow"/>
          <w:lang w:val="en-US" w:eastAsia="zh-CN" w:bidi="ar-SA"/>
        </w:rPr>
        <w:t xml:space="preserve">：</w:t>
      </w:r>
      <w:r/>
    </w:p>
    <w:p>
      <w:pPr>
        <w:ind w:firstLine="420"/>
        <w:pageBreakBefore w:val="0"/>
        <w:spacing w:line="360" w:lineRule="auto"/>
        <w:rPr>
          <w:rFonts w:hint="default" w:ascii="宋体" w:hAnsi="宋体" w:eastAsia="宋体" w:cs="宋体"/>
          <w:sz w:val="21"/>
          <w:szCs w:val="21"/>
          <w:highlight w:val="yellow"/>
          <w:lang w:val="en-US" w:eastAsia="zh-CN" w:bidi="ar-SA"/>
        </w:rPr>
      </w:pPr>
      <w:r>
        <w:rPr>
          <w:rFonts w:hint="default" w:ascii="宋体" w:hAnsi="宋体" w:eastAsia="宋体" w:cs="宋体"/>
          <w:sz w:val="21"/>
          <w:szCs w:val="21"/>
          <w:highlight w:val="yellow"/>
          <w:lang w:val="en-US" w:eastAsia="zh-CN" w:bidi="ar-SA"/>
        </w:rPr>
        <w:t xml:space="preserve">★支持扫描的漏洞数量不少于350000个</w:t>
      </w:r>
      <w:r>
        <w:rPr>
          <w:rFonts w:hint="default" w:ascii="宋体" w:hAnsi="宋体" w:eastAsia="宋体" w:cs="宋体"/>
          <w:b/>
          <w:bCs/>
          <w:sz w:val="21"/>
          <w:szCs w:val="21"/>
          <w:highlight w:val="yellow"/>
          <w:lang w:val="en-US" w:eastAsia="zh-CN" w:bidi="ar-SA"/>
        </w:rPr>
        <w:t xml:space="preserve">（</w:t>
      </w:r>
      <w:r>
        <w:rPr>
          <w:rFonts w:hint="eastAsia" w:ascii="宋体" w:hAnsi="宋体" w:eastAsia="宋体" w:cs="宋体"/>
          <w:b/>
          <w:bCs/>
          <w:sz w:val="21"/>
          <w:szCs w:val="21"/>
          <w:highlight w:val="yellow"/>
          <w:lang w:val="en-US" w:eastAsia="zh-CN" w:bidi="ar-SA"/>
        </w:rPr>
        <w:t xml:space="preserve">响应文件中应</w:t>
      </w:r>
      <w:r>
        <w:rPr>
          <w:rFonts w:hint="default" w:ascii="宋体" w:hAnsi="宋体" w:eastAsia="宋体" w:cs="宋体"/>
          <w:b/>
          <w:bCs/>
          <w:sz w:val="21"/>
          <w:szCs w:val="21"/>
          <w:highlight w:val="yellow"/>
          <w:lang w:val="en-US" w:eastAsia="zh-CN" w:bidi="ar-SA"/>
        </w:rPr>
        <w:t xml:space="preserve">提供截图证明</w:t>
      </w:r>
      <w:r>
        <w:rPr>
          <w:rFonts w:hint="eastAsia" w:ascii="宋体" w:hAnsi="宋体" w:eastAsia="宋体" w:cs="宋体"/>
          <w:b/>
          <w:bCs/>
          <w:sz w:val="21"/>
          <w:szCs w:val="21"/>
          <w:highlight w:val="yellow"/>
          <w:lang w:val="en-US" w:eastAsia="zh-CN" w:bidi="ar-SA"/>
        </w:rPr>
        <w:t xml:space="preserve">并加盖电子签章</w:t>
      </w:r>
      <w:r>
        <w:rPr>
          <w:rFonts w:hint="default" w:ascii="宋体" w:hAnsi="宋体" w:eastAsia="宋体" w:cs="宋体"/>
          <w:b/>
          <w:bCs/>
          <w:sz w:val="21"/>
          <w:szCs w:val="21"/>
          <w:highlight w:val="yellow"/>
          <w:lang w:val="en-US" w:eastAsia="zh-CN" w:bidi="ar-SA"/>
        </w:rPr>
        <w:t xml:space="preserve">）</w:t>
      </w:r>
      <w:r>
        <w:rPr>
          <w:rFonts w:hint="eastAsia" w:ascii="宋体" w:hAnsi="宋体" w:eastAsia="宋体" w:cs="宋体"/>
          <w:b/>
          <w:bCs/>
          <w:sz w:val="21"/>
          <w:szCs w:val="21"/>
          <w:highlight w:val="yellow"/>
          <w:lang w:val="en-US" w:eastAsia="zh-CN" w:bidi="ar-SA"/>
        </w:rPr>
        <w:t xml:space="preserve">。</w:t>
      </w:r>
      <w:r/>
    </w:p>
    <w:p>
      <w:pPr>
        <w:ind w:firstLine="420"/>
        <w:pageBreakBefore w:val="0"/>
        <w:spacing w:line="360" w:lineRule="auto"/>
        <w:rPr>
          <w:rFonts w:hint="default" w:ascii="宋体" w:hAnsi="宋体" w:eastAsia="宋体" w:cs="宋体"/>
          <w:sz w:val="21"/>
          <w:szCs w:val="21"/>
          <w:highlight w:val="yellow"/>
          <w:lang w:val="en-US" w:eastAsia="zh-CN" w:bidi="ar-SA"/>
        </w:rPr>
      </w:pPr>
      <w:r>
        <w:rPr>
          <w:rFonts w:hint="default" w:ascii="宋体" w:hAnsi="宋体" w:eastAsia="宋体" w:cs="宋体"/>
          <w:sz w:val="21"/>
          <w:szCs w:val="21"/>
          <w:highlight w:val="yellow"/>
          <w:lang w:val="en-US" w:eastAsia="zh-CN" w:bidi="ar-SA"/>
        </w:rPr>
        <w:t xml:space="preserve">★支持扫描容器镜像存在的漏洞，支持扫描互联网上公开仓库中的镜像以及私有仓库中的镜像</w:t>
      </w:r>
      <w:r>
        <w:rPr>
          <w:rFonts w:hint="default" w:ascii="宋体" w:hAnsi="宋体" w:eastAsia="宋体" w:cs="宋体"/>
          <w:b/>
          <w:bCs/>
          <w:sz w:val="21"/>
          <w:szCs w:val="21"/>
          <w:highlight w:val="yellow"/>
          <w:lang w:val="en-US" w:eastAsia="zh-CN" w:bidi="ar-SA"/>
        </w:rPr>
        <w:t xml:space="preserve">（</w:t>
      </w:r>
      <w:r>
        <w:rPr>
          <w:rFonts w:hint="eastAsia" w:ascii="宋体" w:hAnsi="宋体" w:eastAsia="宋体" w:cs="宋体"/>
          <w:b/>
          <w:bCs/>
          <w:sz w:val="21"/>
          <w:szCs w:val="21"/>
          <w:highlight w:val="yellow"/>
          <w:lang w:val="en-US" w:eastAsia="zh-CN" w:bidi="ar-SA"/>
        </w:rPr>
        <w:t xml:space="preserve">响应文件中应</w:t>
      </w:r>
      <w:r>
        <w:rPr>
          <w:rFonts w:hint="default" w:ascii="宋体" w:hAnsi="宋体" w:eastAsia="宋体" w:cs="宋体"/>
          <w:b/>
          <w:bCs/>
          <w:sz w:val="21"/>
          <w:szCs w:val="21"/>
          <w:highlight w:val="yellow"/>
          <w:lang w:val="en-US" w:eastAsia="zh-CN" w:bidi="ar-SA"/>
        </w:rPr>
        <w:t xml:space="preserve">提供截图证明</w:t>
      </w:r>
      <w:r>
        <w:rPr>
          <w:rFonts w:hint="eastAsia" w:ascii="宋体" w:hAnsi="宋体" w:eastAsia="宋体" w:cs="宋体"/>
          <w:b/>
          <w:bCs/>
          <w:sz w:val="21"/>
          <w:szCs w:val="21"/>
          <w:highlight w:val="yellow"/>
          <w:lang w:val="en-US" w:eastAsia="zh-CN" w:bidi="ar-SA"/>
        </w:rPr>
        <w:t xml:space="preserve">并加盖电子签章</w:t>
      </w:r>
      <w:r>
        <w:rPr>
          <w:rFonts w:hint="default" w:ascii="宋体" w:hAnsi="宋体" w:eastAsia="宋体" w:cs="宋体"/>
          <w:b/>
          <w:bCs/>
          <w:sz w:val="21"/>
          <w:szCs w:val="21"/>
          <w:highlight w:val="yellow"/>
          <w:lang w:val="en-US" w:eastAsia="zh-CN" w:bidi="ar-SA"/>
        </w:rPr>
        <w:t xml:space="preserve">）</w:t>
      </w:r>
      <w:r>
        <w:rPr>
          <w:rFonts w:hint="eastAsia" w:ascii="宋体" w:hAnsi="宋体" w:eastAsia="宋体" w:cs="宋体"/>
          <w:b/>
          <w:bCs/>
          <w:sz w:val="21"/>
          <w:szCs w:val="21"/>
          <w:highlight w:val="yellow"/>
          <w:lang w:val="en-US" w:eastAsia="zh-CN" w:bidi="ar-SA"/>
        </w:rPr>
        <w:t xml:space="preserve">。</w:t>
      </w:r>
      <w:r/>
    </w:p>
    <w:p>
      <w:pPr>
        <w:ind w:firstLine="420"/>
        <w:pageBreakBefore w:val="0"/>
        <w:spacing w:line="360" w:lineRule="auto"/>
        <w:rPr>
          <w:rFonts w:hint="default" w:ascii="宋体" w:hAnsi="宋体" w:eastAsia="宋体" w:cs="宋体"/>
          <w:sz w:val="21"/>
          <w:szCs w:val="21"/>
          <w:highlight w:val="yellow"/>
          <w:lang w:val="en-US" w:eastAsia="zh-CN" w:bidi="ar-SA"/>
        </w:rPr>
      </w:pPr>
      <w:r>
        <w:rPr>
          <w:rFonts w:hint="default" w:ascii="宋体" w:hAnsi="宋体" w:eastAsia="宋体" w:cs="宋体"/>
          <w:sz w:val="21"/>
          <w:szCs w:val="21"/>
          <w:highlight w:val="yellow"/>
          <w:lang w:val="en-US" w:eastAsia="zh-CN" w:bidi="ar-SA"/>
        </w:rPr>
        <w:t xml:space="preserve">支持对各种Web应用系统的扫描，支持检测SQL注入漏洞、命令注入漏洞、CRLF注入漏洞、LDAP注入漏洞、XSS跨站脚本漏洞、路径遍历漏洞、信息泄漏漏洞、URL跳转漏洞、文件包含漏洞、应用程序漏洞、文件上传漏洞等。</w:t>
      </w:r>
      <w:r/>
    </w:p>
    <w:p>
      <w:pPr>
        <w:ind w:firstLine="420"/>
        <w:pageBreakBefore w:val="0"/>
        <w:spacing w:line="360" w:lineRule="auto"/>
        <w:rPr>
          <w:rFonts w:hint="default" w:ascii="宋体" w:hAnsi="宋体" w:eastAsia="宋体" w:cs="宋体"/>
          <w:sz w:val="21"/>
          <w:szCs w:val="21"/>
          <w:highlight w:val="yellow"/>
          <w:lang w:val="en-US" w:eastAsia="zh-CN" w:bidi="ar-SA"/>
        </w:rPr>
      </w:pPr>
      <w:r>
        <w:rPr>
          <w:rFonts w:hint="default" w:ascii="宋体" w:hAnsi="宋体" w:eastAsia="宋体" w:cs="宋体"/>
          <w:sz w:val="21"/>
          <w:szCs w:val="21"/>
          <w:highlight w:val="yellow"/>
          <w:lang w:val="en-US" w:eastAsia="zh-CN" w:bidi="ar-SA"/>
        </w:rPr>
        <w:t xml:space="preserve">支持漏洞验证功能，在扫描结束后，能够对结果中的重要漏洞进行现场验证，展示漏洞利用过程和风险。</w:t>
      </w:r>
      <w:r/>
    </w:p>
    <w:p>
      <w:pPr>
        <w:ind w:firstLine="420"/>
        <w:pageBreakBefore w:val="0"/>
        <w:spacing w:line="360" w:lineRule="auto"/>
        <w:rPr>
          <w:rFonts w:hint="default" w:ascii="宋体" w:hAnsi="宋体" w:eastAsia="宋体" w:cs="宋体"/>
          <w:sz w:val="21"/>
          <w:szCs w:val="21"/>
          <w:highlight w:val="yellow"/>
          <w:lang w:val="en-US" w:eastAsia="zh-CN" w:bidi="ar-SA"/>
        </w:rPr>
      </w:pPr>
      <w:r>
        <w:rPr>
          <w:rFonts w:hint="default" w:ascii="宋体" w:hAnsi="宋体" w:eastAsia="宋体" w:cs="宋体"/>
          <w:sz w:val="21"/>
          <w:szCs w:val="21"/>
          <w:highlight w:val="yellow"/>
          <w:lang w:val="en-US" w:eastAsia="zh-CN" w:bidi="ar-SA"/>
        </w:rPr>
        <w:t xml:space="preserve">★支持资产拓扑功能，可自动生成资产拓扑图</w:t>
      </w:r>
      <w:r>
        <w:rPr>
          <w:rFonts w:hint="default" w:ascii="宋体" w:hAnsi="宋体" w:eastAsia="宋体" w:cs="宋体"/>
          <w:b/>
          <w:bCs/>
          <w:sz w:val="21"/>
          <w:szCs w:val="21"/>
          <w:highlight w:val="yellow"/>
          <w:lang w:val="en-US" w:eastAsia="zh-CN" w:bidi="ar-SA"/>
        </w:rPr>
        <w:t xml:space="preserve">（</w:t>
      </w:r>
      <w:r>
        <w:rPr>
          <w:rFonts w:hint="eastAsia" w:ascii="宋体" w:hAnsi="宋体" w:eastAsia="宋体" w:cs="宋体"/>
          <w:b/>
          <w:bCs/>
          <w:sz w:val="21"/>
          <w:szCs w:val="21"/>
          <w:highlight w:val="yellow"/>
          <w:lang w:val="en-US" w:eastAsia="zh-CN" w:bidi="ar-SA"/>
        </w:rPr>
        <w:t xml:space="preserve">响应文件中应</w:t>
      </w:r>
      <w:r>
        <w:rPr>
          <w:rFonts w:hint="default" w:ascii="宋体" w:hAnsi="宋体" w:eastAsia="宋体" w:cs="宋体"/>
          <w:b/>
          <w:bCs/>
          <w:sz w:val="21"/>
          <w:szCs w:val="21"/>
          <w:highlight w:val="yellow"/>
          <w:lang w:val="en-US" w:eastAsia="zh-CN" w:bidi="ar-SA"/>
        </w:rPr>
        <w:t xml:space="preserve">提供截图证明</w:t>
      </w:r>
      <w:r>
        <w:rPr>
          <w:rFonts w:hint="eastAsia" w:ascii="宋体" w:hAnsi="宋体" w:eastAsia="宋体" w:cs="宋体"/>
          <w:b/>
          <w:bCs/>
          <w:sz w:val="21"/>
          <w:szCs w:val="21"/>
          <w:highlight w:val="yellow"/>
          <w:lang w:val="en-US" w:eastAsia="zh-CN" w:bidi="ar-SA"/>
        </w:rPr>
        <w:t xml:space="preserve">并加盖电子签章</w:t>
      </w:r>
      <w:r>
        <w:rPr>
          <w:rFonts w:hint="default" w:ascii="宋体" w:hAnsi="宋体" w:eastAsia="宋体" w:cs="宋体"/>
          <w:b/>
          <w:bCs/>
          <w:sz w:val="21"/>
          <w:szCs w:val="21"/>
          <w:highlight w:val="yellow"/>
          <w:lang w:val="en-US" w:eastAsia="zh-CN" w:bidi="ar-SA"/>
        </w:rPr>
        <w:t xml:space="preserve">）</w:t>
      </w:r>
      <w:r>
        <w:rPr>
          <w:rFonts w:hint="eastAsia" w:ascii="宋体" w:hAnsi="宋体" w:eastAsia="宋体" w:cs="宋体"/>
          <w:b/>
          <w:bCs/>
          <w:sz w:val="21"/>
          <w:szCs w:val="21"/>
          <w:highlight w:val="yellow"/>
          <w:lang w:val="en-US" w:eastAsia="zh-CN" w:bidi="ar-SA"/>
        </w:rPr>
        <w:t xml:space="preserve">。</w:t>
      </w:r>
      <w:r/>
    </w:p>
    <w:p>
      <w:pPr>
        <w:ind w:firstLine="422"/>
        <w:pageBreakBefore w:val="0"/>
        <w:spacing w:line="360" w:lineRule="auto"/>
        <w:shd w:val="clear" w:color="auto" w:fill="ffffff"/>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四、商务要求</w:t>
      </w:r>
      <w:r/>
    </w:p>
    <w:p>
      <w:pPr>
        <w:ind w:firstLine="420"/>
        <w:pageBreakBefore w:val="0"/>
        <w:spacing w:line="360" w:lineRule="auto"/>
        <w:shd w:val="clear" w:color="auto" w:fill="ffffff"/>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1.服务时间和地点：</w:t>
      </w:r>
      <w:r/>
    </w:p>
    <w:p>
      <w:pPr>
        <w:ind w:firstLine="42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1.1服务时间：自合同签定之日起一年内。</w:t>
      </w:r>
      <w:r/>
    </w:p>
    <w:p>
      <w:pPr>
        <w:ind w:firstLine="42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1.2服务地点：中共泰州市委网络安全和信息化委员会办公室。</w:t>
      </w:r>
      <w:r/>
    </w:p>
    <w:p>
      <w:pPr>
        <w:ind w:firstLine="42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2.服务标准、期限：</w:t>
      </w:r>
      <w:r/>
    </w:p>
    <w:p>
      <w:pPr>
        <w:ind w:firstLine="42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此次服务项目的服务期暂定一年。自合同签订之日起一年内完成项目需求服务，实施过程需要满足采购文件技术要求和相关网络安全要求。</w:t>
      </w:r>
      <w:r/>
    </w:p>
    <w:p>
      <w:pPr>
        <w:ind w:firstLine="42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3.验收标准：</w:t>
      </w:r>
      <w:r/>
    </w:p>
    <w:p>
      <w:pPr>
        <w:ind w:firstLine="42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采购人按合同约定积极配合成交供应商履约，成交供应商履约到位后，请以书面形式向采购单位提出验收申请，采购人接到申请后及时组织网络安全专家验收会，根据采购文件进行验收，并出具验收报告。</w:t>
      </w:r>
      <w:r/>
    </w:p>
    <w:p>
      <w:pPr>
        <w:ind w:firstLine="420"/>
        <w:pageBreakBefore w:val="0"/>
        <w:spacing w:line="360" w:lineRule="auto"/>
        <w:rPr>
          <w:rFonts w:hint="default"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4.支付要求：</w:t>
      </w:r>
      <w:r>
        <w:rPr>
          <w:rFonts w:hint="eastAsia" w:ascii="宋体" w:hAnsi="宋体" w:eastAsia="宋体" w:cs="宋体"/>
          <w:color w:val="000000"/>
          <w:sz w:val="21"/>
          <w:szCs w:val="21"/>
          <w:highlight w:val="none"/>
          <w:lang w:val="en-US" w:eastAsia="zh-CN" w:bidi="ar-SA"/>
        </w:rPr>
        <w:t xml:space="preserve">合同签订生效且甲方收到乙方提供有效的票据后，支付合同总价的60%；合同期满后，支付合同总价的40%（以上不计利息）。</w:t>
      </w:r>
      <w:r/>
    </w:p>
    <w:p>
      <w:pPr>
        <w:ind w:firstLine="42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5.履约保证金</w:t>
      </w:r>
      <w:r/>
    </w:p>
    <w:p>
      <w:pPr>
        <w:ind w:firstLine="42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本项目不收取履约保证金。</w:t>
      </w:r>
      <w:bookmarkEnd w:id="92"/>
      <w:bookmarkEnd w:id="93"/>
      <w:r/>
    </w:p>
    <w:p>
      <w:pPr>
        <w:pStyle w:val="900"/>
        <w:numPr>
          <w:ilvl w:val="0"/>
          <w:numId w:val="3"/>
        </w:numPr>
        <w:ind w:firstLine="422"/>
        <w:jc w:val="center"/>
        <w:pageBreakBefore w:val="0"/>
        <w:spacing w:line="360" w:lineRule="auto"/>
        <w:rPr>
          <w:rFonts w:hint="eastAsia" w:ascii="宋体" w:hAnsi="宋体" w:eastAsia="宋体"/>
          <w:b/>
          <w:sz w:val="21"/>
          <w:szCs w:val="21"/>
          <w:highlight w:val="none"/>
        </w:rPr>
      </w:pPr>
      <w:r/>
      <w:bookmarkStart w:id="108" w:name="_Toc86268903"/>
      <w:r/>
      <w:bookmarkStart w:id="109" w:name="_Toc23828480"/>
      <w:r/>
      <w:bookmarkStart w:id="110" w:name="_Toc61149622"/>
      <w:r/>
      <w:bookmarkStart w:id="111" w:name="_Toc26554097"/>
      <w:r>
        <w:rPr>
          <w:rFonts w:hint="eastAsia" w:ascii="宋体" w:hAnsi="宋体" w:eastAsia="宋体"/>
          <w:b/>
          <w:sz w:val="21"/>
          <w:szCs w:val="21"/>
          <w:highlight w:val="none"/>
        </w:rPr>
        <w:t xml:space="preserve"> 评审方法和评审标准</w:t>
      </w:r>
      <w:bookmarkEnd w:id="108"/>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一、磋商模式</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二、磋商组织及磋商小组职责</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2.磋商小组的职责：</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（4）磋商小组成员在评审过程中发现供应商有行贿、提供虚假材料或者串通投标等违法行为的，应当及时向财政部门报告。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3.评审有关记录由磋商小组成员签名，存档备查。</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三、评审步骤</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第一阶段：</w:t>
      </w:r>
      <w:r>
        <w:rPr>
          <w:rFonts w:hint="eastAsia" w:ascii="宋体" w:hAnsi="宋体" w:cs="宋体"/>
          <w:szCs w:val="21"/>
          <w:highlight w:val="none"/>
        </w:rPr>
        <w:t xml:space="preserve">采购人代表</w:t>
      </w:r>
      <w:r>
        <w:rPr>
          <w:rFonts w:hint="eastAsia" w:ascii="宋体" w:hAnsi="宋体" w:cs="宋体"/>
          <w:szCs w:val="21"/>
          <w:highlight w:val="none"/>
          <w:lang w:val="zh-CN"/>
        </w:rPr>
        <w:t xml:space="preserve">对每个供应商的资格进行审查。</w:t>
      </w:r>
      <w:r>
        <w:rPr>
          <w:rFonts w:hint="eastAsia" w:ascii="宋体" w:hAnsi="宋体" w:cs="宋体"/>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第二阶段：</w:t>
      </w:r>
      <w:r>
        <w:rPr>
          <w:rFonts w:hint="eastAsia" w:ascii="宋体" w:hAnsi="宋体" w:cs="宋体"/>
          <w:szCs w:val="21"/>
          <w:highlight w:val="none"/>
        </w:rPr>
        <w:t xml:space="preserve">依据磋商文件的规定，由磋商小组</w:t>
      </w:r>
      <w:r>
        <w:rPr>
          <w:rFonts w:hint="eastAsia" w:ascii="宋体" w:hAnsi="宋体" w:cs="宋体"/>
          <w:szCs w:val="21"/>
          <w:highlight w:val="none"/>
          <w:lang w:val="zh-CN"/>
        </w:rPr>
        <w:t xml:space="preserve">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第三阶段：</w:t>
      </w:r>
      <w:r>
        <w:rPr>
          <w:rFonts w:hint="eastAsia" w:ascii="宋体" w:hAnsi="宋体" w:cs="宋体"/>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w:t>
      </w:r>
      <w:r>
        <w:rPr>
          <w:rFonts w:hint="eastAsia" w:ascii="宋体" w:hAnsi="宋体" w:cs="宋体"/>
          <w:szCs w:val="21"/>
          <w:highlight w:val="none"/>
        </w:rPr>
        <w:t xml:space="preserve">四</w:t>
      </w:r>
      <w:r>
        <w:rPr>
          <w:rFonts w:hint="eastAsia" w:ascii="宋体" w:hAnsi="宋体" w:cs="宋体"/>
          <w:szCs w:val="21"/>
          <w:highlight w:val="none"/>
          <w:lang w:val="zh-CN"/>
        </w:rPr>
        <w:t xml:space="preserve">阶段：</w:t>
      </w:r>
      <w:r>
        <w:rPr>
          <w:rFonts w:hint="eastAsia" w:ascii="宋体" w:hAnsi="宋体" w:cs="宋体"/>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 xml:space="preserve">。</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四、磋商程序</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w:t>
      </w:r>
      <w:r>
        <w:rPr>
          <w:rFonts w:hint="eastAsia" w:ascii="宋体" w:hAnsi="宋体" w:cs="宋体"/>
          <w:b/>
          <w:bCs/>
          <w:szCs w:val="21"/>
          <w:highlight w:val="none"/>
        </w:rPr>
        <w:t xml:space="preserve">采购需求中的技术、服务要求以及合同草案条款</w:t>
      </w:r>
      <w:r>
        <w:rPr>
          <w:rFonts w:hint="eastAsia" w:ascii="宋体" w:hAnsi="宋体" w:cs="宋体"/>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highlight w:val="none"/>
        </w:rPr>
        <w:t xml:space="preserve">15分钟内</w:t>
      </w:r>
      <w:r>
        <w:rPr>
          <w:rFonts w:hint="eastAsia" w:ascii="宋体" w:hAnsi="宋体" w:cs="宋体"/>
          <w:szCs w:val="21"/>
          <w:highlight w:val="none"/>
        </w:rPr>
        <w:t xml:space="preserve">提交最后报价。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4.除非在磋商中磋商小组对采购需求中的技术、服务要求以及合同草案条款做了实质性变更，</w:t>
      </w:r>
      <w:r>
        <w:rPr>
          <w:rFonts w:hint="eastAsia" w:ascii="宋体" w:hAnsi="宋体" w:cs="宋体"/>
          <w:b/>
          <w:bCs/>
          <w:szCs w:val="21"/>
          <w:highlight w:val="none"/>
        </w:rPr>
        <w:t xml:space="preserve">否则采购单位不接受供应商高于自己前一轮的磋商报价</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5.在磋商中，磋商的任何一方不得透露与磋商有关的其他响应磋商的供应商的技术资料、价格及其他信息。</w:t>
      </w:r>
      <w:r/>
    </w:p>
    <w:p>
      <w:pPr>
        <w:ind w:firstLine="420"/>
        <w:pageBreakBefore w:val="0"/>
        <w:spacing w:line="360" w:lineRule="auto"/>
        <w:rPr>
          <w:rFonts w:hint="eastAsia" w:ascii="宋体" w:hAnsi="宋体" w:cs="宋体"/>
          <w:b/>
          <w:bCs/>
          <w:szCs w:val="21"/>
          <w:highlight w:val="none"/>
        </w:rPr>
      </w:pPr>
      <w:r>
        <w:rPr>
          <w:rFonts w:hint="eastAsia" w:ascii="宋体" w:hAnsi="宋体" w:cs="宋体"/>
          <w:szCs w:val="21"/>
          <w:highlight w:val="none"/>
        </w:rPr>
        <w:t xml:space="preserve">6.根据《关于推动解决政府采购异常低价问题相关工作的通知》（苏财购〔2025〕62号）精神，</w:t>
      </w:r>
      <w:r>
        <w:rPr>
          <w:rFonts w:hint="eastAsia" w:ascii="宋体" w:hAnsi="宋体" w:cs="宋体"/>
          <w:b/>
          <w:bCs/>
          <w:szCs w:val="21"/>
          <w:highlight w:val="none"/>
        </w:rPr>
        <w:t xml:space="preserve">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（2）投标（响应）报价低于采购项目最高限价45%的，即投标（响应）报价＜采购项目最高限价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五、磋商评定结果的方法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u w:val="single"/>
        </w:rPr>
        <w:t xml:space="preserve">经磋商确定最终采购需求和提交最后报价的供应商后，</w:t>
      </w:r>
      <w:r>
        <w:rPr>
          <w:rFonts w:hint="eastAsia" w:ascii="宋体" w:hAnsi="宋体" w:cs="宋体"/>
          <w:szCs w:val="21"/>
          <w:highlight w:val="none"/>
        </w:rPr>
        <w:t xml:space="preserve">由磋商小组采用综合评分法</w:t>
      </w:r>
      <w:r>
        <w:rPr>
          <w:rFonts w:hint="eastAsia" w:ascii="宋体" w:hAnsi="宋体" w:cs="宋体"/>
          <w:b/>
          <w:szCs w:val="21"/>
          <w:highlight w:val="none"/>
          <w:u w:val="single"/>
        </w:rPr>
        <w:t xml:space="preserve">对提交最后报价的供应商的响应文件和最后报价</w:t>
      </w:r>
      <w:r>
        <w:rPr>
          <w:rFonts w:hint="eastAsia" w:ascii="宋体" w:hAnsi="宋体" w:cs="宋体"/>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6.综合得分最高的供应商被推荐为成交候选人并出具评审磋商报告。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7.确定成交候选人的特殊情况处理：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（1）若总分相同，则按最终报价响应得分高者优先中标。</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tbl>
      <w:tblPr>
        <w:tblStyle w:val="90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453"/>
        <w:gridCol w:w="1148"/>
        <w:gridCol w:w="5455"/>
        <w:gridCol w:w="645"/>
      </w:tblGrid>
      <w:tr>
        <w:trPr>
          <w:trHeight w:val="613"/>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line="300" w:lineRule="exact"/>
              <w:rPr>
                <w:rFonts w:hint="eastAsia" w:asciiTheme="majorEastAsia" w:hAnsiTheme="majorEastAsia" w:eastAsiaTheme="majorEastAsia" w:cstheme="majorEastAsia"/>
                <w:b/>
                <w:bCs/>
                <w:sz w:val="21"/>
                <w:szCs w:val="21"/>
                <w:highlight w:val="none"/>
                <w:lang w:val="en-US" w:eastAsia="zh-CN"/>
              </w:rPr>
            </w:pPr>
            <w:r>
              <w:rPr>
                <w:rFonts w:hint="eastAsia" w:asciiTheme="majorEastAsia" w:hAnsiTheme="majorEastAsia" w:eastAsiaTheme="majorEastAsia" w:cstheme="majorEastAsia"/>
                <w:b/>
                <w:bCs/>
                <w:sz w:val="21"/>
                <w:szCs w:val="21"/>
                <w:highlight w:val="none"/>
              </w:rPr>
              <w:t xml:space="preserve">序</w:t>
            </w:r>
            <w:r>
              <w:rPr>
                <w:rFonts w:hint="eastAsia" w:asciiTheme="majorEastAsia" w:hAnsiTheme="majorEastAsia" w:eastAsiaTheme="majorEastAsia" w:cstheme="majorEastAsia"/>
                <w:b/>
                <w:bCs/>
                <w:sz w:val="21"/>
                <w:szCs w:val="21"/>
                <w:highlight w:val="none"/>
                <w:lang w:val="en-US" w:eastAsia="zh-CN"/>
              </w:rPr>
              <w:t xml:space="preserve">号</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00" w:lineRule="exact"/>
              <w:rPr>
                <w:rFonts w:hint="eastAsia" w:asciiTheme="majorEastAsia" w:hAnsiTheme="majorEastAsia" w:eastAsiaTheme="majorEastAsia" w:cstheme="majorEastAsia"/>
                <w:b/>
                <w:bCs/>
                <w:sz w:val="21"/>
                <w:szCs w:val="21"/>
                <w:highlight w:val="none"/>
              </w:rPr>
            </w:pPr>
            <w:r>
              <w:rPr>
                <w:rFonts w:hint="eastAsia" w:asciiTheme="majorEastAsia" w:hAnsiTheme="majorEastAsia" w:eastAsiaTheme="majorEastAsia" w:cstheme="majorEastAsia"/>
                <w:b/>
                <w:bCs/>
                <w:sz w:val="21"/>
                <w:szCs w:val="21"/>
                <w:highlight w:val="none"/>
              </w:rPr>
              <w:t xml:space="preserve">评分因素</w:t>
            </w:r>
            <w:r/>
          </w:p>
        </w:tc>
        <w:tc>
          <w:tcPr>
            <w:gridSpan w:val="2"/>
            <w:tcBorders>
              <w:top w:val="single" w:color="auto" w:sz="4" w:space="0"/>
              <w:left w:val="single" w:color="auto" w:sz="4" w:space="0"/>
              <w:bottom w:val="single" w:color="auto" w:sz="4" w:space="0"/>
              <w:right w:val="single" w:color="auto" w:sz="4" w:space="0"/>
            </w:tcBorders>
            <w:tcW w:w="3503" w:type="pct"/>
            <w:vAlign w:val="center"/>
            <w:textDirection w:val="lrTb"/>
            <w:noWrap w:val="false"/>
          </w:tcPr>
          <w:p>
            <w:pPr>
              <w:jc w:val="center"/>
              <w:spacing w:line="300" w:lineRule="exact"/>
              <w:rPr>
                <w:rFonts w:hint="eastAsia" w:asciiTheme="majorEastAsia" w:hAnsiTheme="majorEastAsia" w:eastAsiaTheme="majorEastAsia" w:cstheme="majorEastAsia"/>
                <w:b/>
                <w:bCs/>
                <w:sz w:val="21"/>
                <w:szCs w:val="21"/>
                <w:highlight w:val="none"/>
              </w:rPr>
            </w:pPr>
            <w:r>
              <w:rPr>
                <w:rFonts w:hint="eastAsia" w:asciiTheme="majorEastAsia" w:hAnsiTheme="majorEastAsia" w:eastAsiaTheme="majorEastAsia" w:cstheme="majorEastAsia"/>
                <w:b/>
                <w:bCs/>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300" w:lineRule="exact"/>
              <w:rPr>
                <w:rFonts w:hint="eastAsia" w:asciiTheme="majorEastAsia" w:hAnsiTheme="majorEastAsia" w:eastAsiaTheme="majorEastAsia" w:cstheme="majorEastAsia"/>
                <w:b/>
                <w:bCs/>
                <w:sz w:val="21"/>
                <w:szCs w:val="21"/>
                <w:highlight w:val="none"/>
              </w:rPr>
            </w:pPr>
            <w:r>
              <w:rPr>
                <w:rFonts w:hint="eastAsia" w:asciiTheme="majorEastAsia" w:hAnsiTheme="majorEastAsia" w:eastAsiaTheme="majorEastAsia" w:cstheme="majorEastAsia"/>
                <w:b/>
                <w:bCs/>
                <w:sz w:val="21"/>
                <w:szCs w:val="21"/>
                <w:highlight w:val="none"/>
              </w:rPr>
              <w:t xml:space="preserve">分值</w:t>
            </w:r>
            <w:r/>
          </w:p>
        </w:tc>
      </w:tr>
      <w:tr>
        <w:trPr>
          <w:trHeight w:val="90"/>
        </w:trPr>
        <w:tc>
          <w:tcPr>
            <w:tcBorders>
              <w:top w:val="single" w:color="auto" w:sz="4" w:space="0"/>
              <w:left w:val="single" w:color="auto" w:sz="4" w:space="0"/>
              <w:right w:val="single" w:color="auto" w:sz="4" w:space="0"/>
            </w:tcBorders>
            <w:tcW w:w="382" w:type="pct"/>
            <w:vAlign w:val="center"/>
            <w:textDirection w:val="lrTb"/>
            <w:noWrap w:val="false"/>
          </w:tcPr>
          <w:p>
            <w:pPr>
              <w:jc w:val="center"/>
              <w:pageBreakBefore w:val="0"/>
              <w:spacing w:line="360" w:lineRule="auto"/>
              <w:rPr>
                <w:rFonts w:hint="eastAsia" w:ascii="宋体" w:hAnsi="宋体" w:eastAsia="宋体" w:cs="宋体"/>
                <w:szCs w:val="21"/>
                <w:highlight w:val="none"/>
              </w:rPr>
            </w:pPr>
            <w:r/>
            <w:bookmarkStart w:id="112" w:name="OLE_LINK2"/>
            <w:r/>
            <w:bookmarkStart w:id="113" w:name="OLE_LINK1"/>
            <w:r/>
            <w:bookmarkStart w:id="114" w:name="OLE_LINK4"/>
            <w:r/>
            <w:bookmarkStart w:id="115" w:name="OLE_LINK3"/>
            <w:r/>
            <w:bookmarkStart w:id="116" w:name="_Hlk401005359"/>
            <w:r>
              <w:rPr>
                <w:rFonts w:hint="eastAsia" w:ascii="宋体" w:hAnsi="宋体" w:eastAsia="宋体" w:cs="宋体"/>
                <w:szCs w:val="21"/>
                <w:highlight w:val="none"/>
              </w:rPr>
              <w:t xml:space="preserve">1</w:t>
            </w:r>
            <w:r/>
          </w:p>
        </w:tc>
        <w:tc>
          <w:tcPr>
            <w:tcBorders>
              <w:left w:val="single" w:color="auto" w:sz="4" w:space="0"/>
              <w:right w:val="single" w:color="auto" w:sz="4" w:space="0"/>
            </w:tcBorders>
            <w:tcW w:w="771" w:type="pct"/>
            <w:vAlign w:val="center"/>
            <w:textDirection w:val="lrTb"/>
            <w:noWrap w:val="false"/>
          </w:tcPr>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p>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0分）</w:t>
            </w:r>
            <w:r/>
          </w:p>
        </w:tc>
        <w:tc>
          <w:tcPr>
            <w:gridSpan w:val="2"/>
            <w:tcBorders>
              <w:top w:val="single" w:color="auto" w:sz="4" w:space="0"/>
              <w:left w:val="single" w:color="auto" w:sz="4" w:space="0"/>
              <w:right w:val="single" w:color="auto" w:sz="4" w:space="0"/>
            </w:tcBorders>
            <w:tcW w:w="3503" w:type="pct"/>
            <w:vAlign w:val="center"/>
            <w:textDirection w:val="lrTb"/>
            <w:noWrap w:val="false"/>
          </w:tcPr>
          <w:p>
            <w:pP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价格分采用低价优先法计算，即满足磋商文件要求且最后报价最低的供应商的价格为评审基准价，其价格分为满分</w:t>
            </w:r>
            <w:r>
              <w:rPr>
                <w:rFonts w:hint="eastAsia" w:asciiTheme="majorEastAsia" w:hAnsiTheme="majorEastAsia" w:eastAsiaTheme="majorEastAsia" w:cstheme="majorEastAsia"/>
                <w:sz w:val="21"/>
                <w:szCs w:val="21"/>
                <w:lang w:val="en-US" w:eastAsia="zh-CN"/>
              </w:rPr>
              <w:t xml:space="preserve">20</w:t>
            </w:r>
            <w:r>
              <w:rPr>
                <w:rFonts w:hint="eastAsia" w:asciiTheme="majorEastAsia" w:hAnsiTheme="majorEastAsia" w:eastAsiaTheme="majorEastAsia" w:cstheme="majorEastAsia"/>
                <w:sz w:val="21"/>
                <w:szCs w:val="21"/>
              </w:rPr>
              <w:t xml:space="preserve">分。其他供应商的磋商报价分别统一按照下列公式计算：</w:t>
            </w:r>
            <w:r/>
          </w:p>
          <w:p>
            <w:pPr>
              <w:rPr>
                <w:rFonts w:hint="eastAsia" w:ascii="宋体" w:hAnsi="宋体" w:eastAsia="宋体" w:cs="宋体"/>
                <w:szCs w:val="21"/>
                <w:highlight w:val="none"/>
              </w:rPr>
            </w:pPr>
            <w:r>
              <w:rPr>
                <w:rFonts w:hint="eastAsia" w:asciiTheme="majorEastAsia" w:hAnsiTheme="majorEastAsia" w:eastAsiaTheme="majorEastAsia" w:cstheme="majorEastAsia"/>
                <w:sz w:val="21"/>
                <w:szCs w:val="21"/>
              </w:rPr>
              <w:t xml:space="preserve">供应商磋商报价得分=（评审基准价/该磋商供应商的最终报价）×100%×</w:t>
            </w:r>
            <w:r>
              <w:rPr>
                <w:rFonts w:hint="eastAsia" w:asciiTheme="majorEastAsia" w:hAnsiTheme="majorEastAsia" w:eastAsiaTheme="majorEastAsia" w:cstheme="majorEastAsia"/>
                <w:sz w:val="21"/>
                <w:szCs w:val="21"/>
                <w:lang w:val="en-US" w:eastAsia="zh-CN"/>
              </w:rPr>
              <w:t xml:space="preserve">20</w:t>
            </w:r>
            <w:r>
              <w:rPr>
                <w:rFonts w:hint="eastAsia" w:asciiTheme="majorEastAsia" w:hAnsiTheme="majorEastAsia" w:eastAsiaTheme="majorEastAsia" w:cstheme="majorEastAsia"/>
                <w:sz w:val="21"/>
                <w:szCs w:val="21"/>
              </w:rPr>
              <w:t xml:space="preserve">分（得分保留两位小数）。</w:t>
            </w:r>
            <w:r/>
          </w:p>
        </w:tc>
        <w:tc>
          <w:tcPr>
            <w:tcBorders>
              <w:top w:val="single" w:color="auto" w:sz="4" w:space="0"/>
              <w:left w:val="single" w:color="auto" w:sz="4" w:space="0"/>
              <w:right w:val="single" w:color="auto" w:sz="4" w:space="0"/>
            </w:tcBorders>
            <w:tcW w:w="342" w:type="pct"/>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rPr>
              <w:t xml:space="preserve">0</w:t>
            </w:r>
            <w:r/>
          </w:p>
        </w:tc>
      </w:tr>
      <w:tr>
        <w:trPr>
          <w:trHeight w:val="1353"/>
        </w:trPr>
        <w:tc>
          <w:tcPr>
            <w:tcBorders>
              <w:left w:val="single" w:color="auto" w:sz="4" w:space="0"/>
              <w:right w:val="single" w:color="auto" w:sz="4" w:space="0"/>
            </w:tcBorders>
            <w:tcW w:w="382" w:type="pct"/>
            <w:vAlign w:val="center"/>
            <w:vMerge w:val="restart"/>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w:t>
            </w:r>
            <w:r/>
          </w:p>
        </w:tc>
        <w:tc>
          <w:tcPr>
            <w:tcBorders>
              <w:left w:val="single" w:color="auto" w:sz="4" w:space="0"/>
              <w:right w:val="single" w:color="auto" w:sz="4" w:space="0"/>
            </w:tcBorders>
            <w:tcW w:w="771" w:type="pct"/>
            <w:vAlign w:val="center"/>
            <w:vMerge w:val="restart"/>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技术服务</w:t>
            </w:r>
            <w:r/>
          </w:p>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（30分）</w:t>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网络安全监管服务技术方案</w:t>
            </w:r>
            <w:r/>
          </w:p>
        </w:tc>
        <w:tc>
          <w:tcPr>
            <w:tcBorders>
              <w:top w:val="single" w:color="auto" w:sz="4" w:space="0"/>
              <w:left w:val="single" w:color="auto" w:sz="4" w:space="0"/>
              <w:right w:val="single" w:color="auto" w:sz="4" w:space="0"/>
            </w:tcBorders>
            <w:tcW w:w="2894" w:type="pct"/>
            <w:vAlign w:val="center"/>
            <w:textDirection w:val="lrTb"/>
            <w:noWrap w:val="false"/>
          </w:tcPr>
          <w:p>
            <w:pP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 xml:space="preserve">投标方应提供完整的</w:t>
            </w:r>
            <w:r>
              <w:rPr>
                <w:rFonts w:hint="eastAsia" w:asciiTheme="majorEastAsia" w:hAnsiTheme="majorEastAsia" w:eastAsiaTheme="majorEastAsia" w:cstheme="majorEastAsia"/>
                <w:sz w:val="21"/>
                <w:szCs w:val="21"/>
                <w:lang w:val="en-US" w:eastAsia="zh-CN"/>
              </w:rPr>
              <w:t xml:space="preserve">网络安全监管服务技术方案，内容包括资产探测服务、安全监测服务、通报处置服务、网安行动服务和人员驻场服务。</w:t>
            </w:r>
            <w:r/>
          </w:p>
          <w:p>
            <w:pP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方案优于采购需求，针对性强，可行性强的得15分；</w:t>
            </w:r>
            <w:r/>
          </w:p>
          <w:p>
            <w:pP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方案</w:t>
            </w:r>
            <w:r>
              <w:rPr>
                <w:rFonts w:hint="eastAsia" w:asciiTheme="majorEastAsia" w:hAnsiTheme="majorEastAsia" w:eastAsiaTheme="majorEastAsia" w:cstheme="majorEastAsia"/>
                <w:sz w:val="21"/>
                <w:szCs w:val="21"/>
                <w:lang w:val="en-US" w:eastAsia="zh-CN"/>
              </w:rPr>
              <w:t xml:space="preserve">符合采购需求，针对性强，可行性强</w:t>
            </w:r>
            <w:r>
              <w:rPr>
                <w:rFonts w:hint="eastAsia" w:asciiTheme="majorEastAsia" w:hAnsiTheme="majorEastAsia" w:eastAsiaTheme="majorEastAsia" w:cstheme="majorEastAsia"/>
                <w:sz w:val="21"/>
                <w:szCs w:val="21"/>
              </w:rPr>
              <w:t xml:space="preserve">的得</w:t>
            </w:r>
            <w:r>
              <w:rPr>
                <w:rFonts w:hint="eastAsia" w:asciiTheme="majorEastAsia" w:hAnsiTheme="majorEastAsia" w:eastAsiaTheme="majorEastAsia" w:cstheme="majorEastAsia"/>
                <w:sz w:val="21"/>
                <w:szCs w:val="21"/>
                <w:lang w:val="en-US" w:eastAsia="zh-CN"/>
              </w:rPr>
              <w:t xml:space="preserve">12</w:t>
            </w:r>
            <w:r>
              <w:rPr>
                <w:rFonts w:hint="eastAsia" w:asciiTheme="majorEastAsia" w:hAnsiTheme="majorEastAsia" w:eastAsiaTheme="majorEastAsia" w:cstheme="majorEastAsia"/>
                <w:sz w:val="21"/>
                <w:szCs w:val="21"/>
              </w:rPr>
              <w:t xml:space="preserve">分；</w:t>
            </w:r>
            <w:r/>
          </w:p>
          <w:p>
            <w:pP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方案大部分符合采购需求，针对性一般，具备可行性的得9分；</w:t>
            </w:r>
            <w:r/>
          </w:p>
          <w:p>
            <w:pP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方案少部分符合采购需求，针对性、可行性差的得5分；</w:t>
            </w:r>
            <w:r/>
          </w:p>
          <w:p>
            <w:pP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方案不符合采购需求或未提供的不得分。</w:t>
            </w:r>
            <w:r/>
          </w:p>
        </w:tc>
        <w:tc>
          <w:tcPr>
            <w:tcBorders>
              <w:top w:val="single" w:color="auto" w:sz="4" w:space="0"/>
              <w:left w:val="single" w:color="auto" w:sz="4" w:space="0"/>
              <w:right w:val="single" w:color="auto" w:sz="4" w:space="0"/>
            </w:tcBorders>
            <w:tcW w:w="342" w:type="pct"/>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15</w:t>
            </w:r>
            <w:r/>
          </w:p>
        </w:tc>
      </w:tr>
      <w:tr>
        <w:trPr>
          <w:trHeight w:val="1353"/>
        </w:trPr>
        <w:tc>
          <w:tcPr>
            <w:tcBorders>
              <w:left w:val="single" w:color="auto" w:sz="4" w:space="0"/>
              <w:right w:val="single" w:color="auto" w:sz="4" w:space="0"/>
            </w:tcBorders>
            <w:tcW w:w="382" w:type="pct"/>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c>
          <w:tcPr>
            <w:tcBorders>
              <w:left w:val="single" w:color="auto" w:sz="4" w:space="0"/>
              <w:right w:val="single" w:color="auto" w:sz="4" w:space="0"/>
            </w:tcBorders>
            <w:tcW w:w="771" w:type="pct"/>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项目质量保证方案</w:t>
            </w:r>
            <w:r/>
          </w:p>
        </w:tc>
        <w:tc>
          <w:tcPr>
            <w:tcBorders>
              <w:top w:val="single" w:color="auto" w:sz="4" w:space="0"/>
              <w:left w:val="single" w:color="auto" w:sz="4" w:space="0"/>
              <w:right w:val="single" w:color="auto" w:sz="4" w:space="0"/>
            </w:tcBorders>
            <w:tcW w:w="2894" w:type="pct"/>
            <w:vAlign w:val="center"/>
            <w:textDirection w:val="lrTb"/>
            <w:noWrap w:val="false"/>
          </w:tcPr>
          <w:p>
            <w:pP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 xml:space="preserve">投标方应提供完整的</w:t>
            </w:r>
            <w:r>
              <w:rPr>
                <w:rFonts w:hint="eastAsia" w:asciiTheme="majorEastAsia" w:hAnsiTheme="majorEastAsia" w:eastAsiaTheme="majorEastAsia" w:cstheme="majorEastAsia"/>
                <w:sz w:val="21"/>
                <w:szCs w:val="21"/>
                <w:lang w:val="en-US" w:eastAsia="zh-CN"/>
              </w:rPr>
              <w:t xml:space="preserve">项目质量保证方案。</w:t>
            </w:r>
            <w:r/>
          </w:p>
          <w:p>
            <w:pP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方案优于采购需求，针对性强，可行性强的得15分；</w:t>
            </w:r>
            <w:r/>
          </w:p>
          <w:p>
            <w:pP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方案</w:t>
            </w:r>
            <w:r>
              <w:rPr>
                <w:rFonts w:hint="eastAsia" w:asciiTheme="majorEastAsia" w:hAnsiTheme="majorEastAsia" w:eastAsiaTheme="majorEastAsia" w:cstheme="majorEastAsia"/>
                <w:sz w:val="21"/>
                <w:szCs w:val="21"/>
                <w:lang w:val="en-US" w:eastAsia="zh-CN"/>
              </w:rPr>
              <w:t xml:space="preserve">符合采购需求，针对性强，可行性强</w:t>
            </w:r>
            <w:r>
              <w:rPr>
                <w:rFonts w:hint="eastAsia" w:asciiTheme="majorEastAsia" w:hAnsiTheme="majorEastAsia" w:eastAsiaTheme="majorEastAsia" w:cstheme="majorEastAsia"/>
                <w:sz w:val="21"/>
                <w:szCs w:val="21"/>
              </w:rPr>
              <w:t xml:space="preserve">的得</w:t>
            </w:r>
            <w:r>
              <w:rPr>
                <w:rFonts w:hint="eastAsia" w:asciiTheme="majorEastAsia" w:hAnsiTheme="majorEastAsia" w:eastAsiaTheme="majorEastAsia" w:cstheme="majorEastAsia"/>
                <w:sz w:val="21"/>
                <w:szCs w:val="21"/>
                <w:lang w:val="en-US" w:eastAsia="zh-CN"/>
              </w:rPr>
              <w:t xml:space="preserve">12</w:t>
            </w:r>
            <w:r>
              <w:rPr>
                <w:rFonts w:hint="eastAsia" w:asciiTheme="majorEastAsia" w:hAnsiTheme="majorEastAsia" w:eastAsiaTheme="majorEastAsia" w:cstheme="majorEastAsia"/>
                <w:sz w:val="21"/>
                <w:szCs w:val="21"/>
              </w:rPr>
              <w:t xml:space="preserve">分；</w:t>
            </w:r>
            <w:r/>
          </w:p>
          <w:p>
            <w:pP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方案大部分符合采购需求，针对性一般，具备可行性的得9分；</w:t>
            </w:r>
            <w:r/>
          </w:p>
          <w:p>
            <w:pP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方案少部分符合采购需求，针对性、可行性差的得5分；</w:t>
            </w:r>
            <w:r/>
          </w:p>
          <w:p>
            <w:pP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val="en-US" w:eastAsia="zh-CN"/>
              </w:rPr>
              <w:t xml:space="preserve">方案不符合采购需求或未提供的不得分。</w:t>
            </w:r>
            <w:r/>
          </w:p>
        </w:tc>
        <w:tc>
          <w:tcPr>
            <w:tcBorders>
              <w:top w:val="single" w:color="auto" w:sz="4" w:space="0"/>
              <w:left w:val="single" w:color="auto" w:sz="4" w:space="0"/>
              <w:right w:val="single" w:color="auto" w:sz="4" w:space="0"/>
            </w:tcBorders>
            <w:tcW w:w="342" w:type="pct"/>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15</w:t>
            </w:r>
            <w:r/>
          </w:p>
        </w:tc>
      </w:tr>
      <w:tr>
        <w:trPr>
          <w:trHeight w:val="204"/>
        </w:trPr>
        <w:tc>
          <w:tcPr>
            <w:tcBorders>
              <w:left w:val="single" w:color="auto" w:sz="4" w:space="0"/>
              <w:right w:val="single" w:color="auto" w:sz="4" w:space="0"/>
            </w:tcBorders>
            <w:tcW w:w="382" w:type="pct"/>
            <w:vAlign w:val="center"/>
            <w:vMerge w:val="restart"/>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w:t>
            </w:r>
            <w:r/>
          </w:p>
        </w:tc>
        <w:tc>
          <w:tcPr>
            <w:tcBorders>
              <w:left w:val="single" w:color="auto" w:sz="4" w:space="0"/>
              <w:right w:val="single" w:color="auto" w:sz="4" w:space="0"/>
            </w:tcBorders>
            <w:tcW w:w="771" w:type="pct"/>
            <w:vAlign w:val="center"/>
            <w:vMerge w:val="restart"/>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综合实力</w:t>
            </w:r>
            <w:r/>
          </w:p>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w:t>
            </w:r>
            <w:r>
              <w:rPr>
                <w:rFonts w:hint="eastAsia" w:asciiTheme="majorEastAsia" w:hAnsiTheme="majorEastAsia" w:eastAsiaTheme="majorEastAsia" w:cstheme="majorEastAsia"/>
                <w:sz w:val="21"/>
                <w:szCs w:val="21"/>
                <w:lang w:val="en-US" w:eastAsia="zh-CN"/>
              </w:rPr>
              <w:t xml:space="preserve">50</w:t>
            </w:r>
            <w:r>
              <w:rPr>
                <w:rFonts w:hint="eastAsia" w:asciiTheme="majorEastAsia" w:hAnsiTheme="majorEastAsia" w:eastAsiaTheme="majorEastAsia" w:cstheme="majorEastAsia"/>
                <w:sz w:val="21"/>
                <w:szCs w:val="21"/>
              </w:rPr>
              <w:t xml:space="preserve">分）</w:t>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 xml:space="preserve">企业</w:t>
            </w:r>
            <w:r>
              <w:rPr>
                <w:rFonts w:hint="eastAsia" w:asciiTheme="majorEastAsia" w:hAnsiTheme="majorEastAsia" w:eastAsiaTheme="majorEastAsia" w:cstheme="majorEastAsia"/>
                <w:sz w:val="21"/>
                <w:szCs w:val="21"/>
                <w:lang w:val="en-US" w:eastAsia="zh-CN"/>
              </w:rPr>
              <w:t xml:space="preserve">实力</w:t>
            </w:r>
            <w:r/>
          </w:p>
        </w:tc>
        <w:tc>
          <w:tcPr>
            <w:tcBorders>
              <w:top w:val="single" w:color="auto" w:sz="4" w:space="0"/>
              <w:left w:val="single" w:color="auto" w:sz="4" w:space="0"/>
              <w:right w:val="single" w:color="auto" w:sz="4" w:space="0"/>
            </w:tcBorders>
            <w:tcW w:w="2894" w:type="pct"/>
            <w:vAlign w:val="center"/>
            <w:textDirection w:val="lrTb"/>
            <w:noWrap w:val="false"/>
          </w:tcPr>
          <w:p>
            <w:pPr>
              <w:pStyle w:val="912"/>
              <w:numPr>
                <w:ilvl w:val="0"/>
                <w:numId w:val="4"/>
              </w:numPr>
              <w:ind w:left="0"/>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投标人具备</w:t>
            </w:r>
            <w:r>
              <w:rPr>
                <w:rFonts w:hint="eastAsia" w:asciiTheme="majorEastAsia" w:hAnsiTheme="majorEastAsia" w:eastAsiaTheme="majorEastAsia" w:cstheme="majorEastAsia"/>
                <w:sz w:val="21"/>
                <w:szCs w:val="21"/>
                <w:lang w:eastAsia="zh-CN"/>
              </w:rPr>
              <w:t xml:space="preserve">信息系统业务安全服务资质CCIA</w:t>
            </w:r>
            <w:r>
              <w:rPr>
                <w:rFonts w:hint="eastAsia" w:asciiTheme="majorEastAsia" w:hAnsiTheme="majorEastAsia" w:eastAsiaTheme="majorEastAsia" w:cstheme="majorEastAsia"/>
                <w:sz w:val="21"/>
                <w:szCs w:val="21"/>
                <w:lang w:val="en-US" w:eastAsia="zh-CN"/>
              </w:rPr>
              <w:t xml:space="preserve">一级得2分，二级及以下的得1分。</w:t>
            </w:r>
            <w:r/>
          </w:p>
          <w:p>
            <w:pPr>
              <w:pStyle w:val="912"/>
              <w:numPr>
                <w:ilvl w:val="0"/>
                <w:numId w:val="4"/>
              </w:numPr>
              <w:ind w:left="0"/>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投标人具备信息安全服务资质认证CCRC（安全运维）一级得2分，二级及以下的得1分。</w:t>
            </w:r>
            <w:r/>
          </w:p>
          <w:p>
            <w:pPr>
              <w:pStyle w:val="912"/>
              <w:numPr>
                <w:ilvl w:val="0"/>
                <w:numId w:val="4"/>
              </w:numPr>
              <w:ind w:left="0"/>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投标人具备信息安全服务资质认证CCRC（安全集成）一级得2分，二级及以下的得1分。</w:t>
            </w:r>
            <w:r/>
          </w:p>
          <w:p>
            <w:pPr>
              <w:numPr>
                <w:ilvl w:val="0"/>
                <w:numId w:val="4"/>
              </w:numPr>
              <w:ind w:left="0" w:firstLine="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投标人具备CCRC信息安全服务资质（安全应急）资质得</w:t>
            </w:r>
            <w:r>
              <w:rPr>
                <w:rFonts w:hint="eastAsia" w:asciiTheme="majorEastAsia" w:hAnsiTheme="majorEastAsia" w:eastAsiaTheme="majorEastAsia" w:cstheme="majorEastAsia"/>
                <w:sz w:val="21"/>
                <w:szCs w:val="21"/>
                <w:lang w:val="en-US" w:eastAsia="zh-CN"/>
              </w:rPr>
              <w:t xml:space="preserve">2</w:t>
            </w:r>
            <w:r>
              <w:rPr>
                <w:rFonts w:hint="eastAsia" w:asciiTheme="majorEastAsia" w:hAnsiTheme="majorEastAsia" w:eastAsiaTheme="majorEastAsia" w:cstheme="majorEastAsia"/>
                <w:sz w:val="21"/>
                <w:szCs w:val="21"/>
              </w:rPr>
              <w:t xml:space="preserve">分，没有不得分。</w:t>
            </w:r>
            <w:r/>
          </w:p>
          <w:p>
            <w:pPr>
              <w:numPr>
                <w:ilvl w:val="0"/>
                <w:numId w:val="4"/>
              </w:numPr>
              <w:ind w:left="0" w:firstLine="0"/>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投标人具备国家信息安全漏洞库（CNNVD）技术支撑单位三级及以上资质得2分，没有不得分。</w:t>
            </w:r>
            <w:r/>
          </w:p>
          <w:p>
            <w:pPr>
              <w:numPr>
                <w:ilvl w:val="0"/>
                <w:numId w:val="4"/>
              </w:numPr>
              <w:ind w:left="0" w:firstLine="0"/>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投标人为2025年泰州市网络安全技术支撑机构得5分，否则不得分。</w:t>
            </w:r>
            <w:r/>
          </w:p>
          <w:p>
            <w:pPr>
              <w:pStyle w:val="912"/>
              <w:ind w:left="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注：提供相应证书</w:t>
            </w:r>
            <w:r>
              <w:rPr>
                <w:rFonts w:hint="eastAsia" w:asciiTheme="majorEastAsia" w:hAnsiTheme="majorEastAsia" w:eastAsiaTheme="majorEastAsia" w:cstheme="majorEastAsia"/>
                <w:sz w:val="21"/>
                <w:szCs w:val="21"/>
                <w:lang w:val="en-US" w:eastAsia="zh-CN"/>
              </w:rPr>
              <w:t xml:space="preserve">及证明材料</w:t>
            </w:r>
            <w:r>
              <w:rPr>
                <w:rFonts w:hint="eastAsia" w:asciiTheme="majorEastAsia" w:hAnsiTheme="majorEastAsia" w:eastAsiaTheme="majorEastAsia" w:cstheme="majorEastAsia"/>
                <w:sz w:val="21"/>
                <w:szCs w:val="21"/>
                <w:lang w:eastAsia="zh-CN"/>
              </w:rPr>
              <w:t xml:space="preserve">扫描件</w:t>
            </w:r>
            <w:r>
              <w:rPr>
                <w:rFonts w:hint="eastAsia" w:asciiTheme="majorEastAsia" w:hAnsiTheme="majorEastAsia" w:eastAsiaTheme="majorEastAsia" w:cstheme="majorEastAsia"/>
                <w:sz w:val="21"/>
                <w:szCs w:val="21"/>
              </w:rPr>
              <w:t xml:space="preserve">加盖投标人公章。</w:t>
            </w:r>
            <w:r/>
          </w:p>
        </w:tc>
        <w:tc>
          <w:tcPr>
            <w:tcBorders>
              <w:top w:val="single" w:color="auto" w:sz="4" w:space="0"/>
              <w:left w:val="single" w:color="auto" w:sz="4" w:space="0"/>
              <w:right w:val="single" w:color="auto" w:sz="4" w:space="0"/>
            </w:tcBorders>
            <w:tcW w:w="342"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15</w:t>
            </w:r>
            <w:r/>
          </w:p>
        </w:tc>
      </w:tr>
      <w:tr>
        <w:trPr>
          <w:trHeight w:val="3685"/>
        </w:trPr>
        <w:tc>
          <w:tcPr>
            <w:tcBorders>
              <w:left w:val="single" w:color="auto" w:sz="4" w:space="0"/>
              <w:right w:val="single" w:color="auto" w:sz="4" w:space="0"/>
            </w:tcBorders>
            <w:tcW w:w="382" w:type="pct"/>
            <w:vAlign w:val="center"/>
            <w:vMerge w:val="continue"/>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Borders>
              <w:left w:val="single" w:color="auto" w:sz="4" w:space="0"/>
              <w:right w:val="single" w:color="auto" w:sz="4" w:space="0"/>
            </w:tcBorders>
            <w:tcW w:w="771" w:type="pct"/>
            <w:vAlign w:val="center"/>
            <w:vMerge w:val="continue"/>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人员配备</w:t>
            </w:r>
            <w:r/>
          </w:p>
        </w:tc>
        <w:tc>
          <w:tcPr>
            <w:tcBorders>
              <w:top w:val="single" w:color="auto" w:sz="4" w:space="0"/>
              <w:left w:val="single" w:color="auto" w:sz="4" w:space="0"/>
              <w:right w:val="single" w:color="auto" w:sz="4" w:space="0"/>
            </w:tcBorders>
            <w:tcW w:w="2894" w:type="pct"/>
            <w:vAlign w:val="center"/>
            <w:textDirection w:val="lrTb"/>
            <w:noWrap w:val="false"/>
          </w:tcPr>
          <w:p>
            <w:pP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（1）项目负责人具备信息系统项目管理师证书、国家注册安全信息证书（CISP)、信息系统业务安全服务工程师证书、CISAW信息安全保障人员认证证书，</w:t>
            </w:r>
            <w:r>
              <w:rPr>
                <w:rFonts w:hint="eastAsia" w:asciiTheme="majorEastAsia" w:hAnsiTheme="majorEastAsia" w:eastAsiaTheme="majorEastAsia" w:cstheme="majorEastAsia"/>
                <w:sz w:val="21"/>
                <w:szCs w:val="21"/>
                <w:highlight w:val="none"/>
                <w:lang w:val="en-US" w:eastAsia="zh-CN"/>
              </w:rPr>
              <w:t xml:space="preserve">每提供一个证书得1分，最高得4分</w:t>
            </w:r>
            <w:r>
              <w:rPr>
                <w:rFonts w:hint="eastAsia" w:asciiTheme="majorEastAsia" w:hAnsiTheme="majorEastAsia" w:eastAsiaTheme="majorEastAsia" w:cstheme="majorEastAsia"/>
                <w:sz w:val="21"/>
                <w:szCs w:val="21"/>
                <w:highlight w:val="none"/>
              </w:rPr>
              <w:t xml:space="preserve">。</w:t>
            </w:r>
            <w:r/>
          </w:p>
          <w:p>
            <w:pP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（2）项目技术负责人具备系统集成项目管理工程师证书、中级通信工程师证书、IT服务项目经理证书、国家注册安全信息证书(CISP)，</w:t>
            </w:r>
            <w:r>
              <w:rPr>
                <w:rFonts w:hint="eastAsia" w:asciiTheme="majorEastAsia" w:hAnsiTheme="majorEastAsia" w:eastAsiaTheme="majorEastAsia" w:cstheme="majorEastAsia"/>
                <w:sz w:val="21"/>
                <w:szCs w:val="21"/>
                <w:highlight w:val="none"/>
                <w:lang w:val="en-US" w:eastAsia="zh-CN"/>
              </w:rPr>
              <w:t xml:space="preserve">每提供一个证书得1分，最高得4分</w:t>
            </w:r>
            <w:r>
              <w:rPr>
                <w:rFonts w:hint="eastAsia" w:asciiTheme="majorEastAsia" w:hAnsiTheme="majorEastAsia" w:eastAsiaTheme="majorEastAsia" w:cstheme="majorEastAsia"/>
                <w:sz w:val="21"/>
                <w:szCs w:val="21"/>
                <w:highlight w:val="none"/>
              </w:rPr>
              <w:t xml:space="preserve">。</w:t>
            </w:r>
            <w:r/>
          </w:p>
          <w:p>
            <w:pP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（3）项目团队成员具备CISAW信息安全保障人员认证证书、网络安全能力认证CCSC、售后服务管理师证书，每有一个得1分，同一证书不重复得分，最高得3分。</w:t>
            </w:r>
            <w:r/>
          </w:p>
          <w:p>
            <w:pPr>
              <w:rPr>
                <w:rFonts w:hint="eastAsia" w:asciiTheme="majorEastAsia" w:hAnsiTheme="majorEastAsia" w:eastAsiaTheme="majorEastAsia" w:cstheme="majorEastAsia"/>
                <w:sz w:val="21"/>
                <w:szCs w:val="21"/>
                <w:lang w:eastAsia="zh-CN"/>
              </w:rPr>
            </w:pPr>
            <w:r>
              <w:rPr>
                <w:rFonts w:hint="eastAsia" w:asciiTheme="majorEastAsia" w:hAnsiTheme="majorEastAsia" w:eastAsiaTheme="majorEastAsia" w:cstheme="majorEastAsia"/>
                <w:sz w:val="21"/>
                <w:szCs w:val="21"/>
                <w:highlight w:val="none"/>
              </w:rPr>
              <w:t xml:space="preserve">注：</w:t>
            </w:r>
            <w:r>
              <w:rPr>
                <w:rFonts w:hint="eastAsia" w:asciiTheme="majorEastAsia" w:hAnsiTheme="majorEastAsia" w:eastAsiaTheme="majorEastAsia" w:cstheme="majorEastAsia"/>
                <w:sz w:val="21"/>
                <w:szCs w:val="21"/>
              </w:rPr>
              <w:t xml:space="preserve">须提供相关证书</w:t>
            </w:r>
            <w:r>
              <w:rPr>
                <w:rFonts w:hint="eastAsia" w:asciiTheme="majorEastAsia" w:hAnsiTheme="majorEastAsia" w:eastAsiaTheme="majorEastAsia" w:cstheme="majorEastAsia"/>
                <w:sz w:val="21"/>
                <w:szCs w:val="21"/>
                <w:lang w:eastAsia="zh-CN"/>
              </w:rPr>
              <w:t xml:space="preserve">扫描件</w:t>
            </w:r>
            <w:r>
              <w:rPr>
                <w:rFonts w:hint="eastAsia" w:asciiTheme="majorEastAsia" w:hAnsiTheme="majorEastAsia" w:eastAsiaTheme="majorEastAsia" w:cstheme="majorEastAsia"/>
                <w:sz w:val="21"/>
                <w:szCs w:val="21"/>
              </w:rPr>
              <w:t xml:space="preserve">以及投标单位近三个月中任意一个月为相关人员缴纳社保的证明材料，未提供不得分</w:t>
            </w:r>
            <w:r>
              <w:rPr>
                <w:rFonts w:hint="eastAsia" w:asciiTheme="majorEastAsia" w:hAnsiTheme="majorEastAsia" w:eastAsiaTheme="majorEastAsia" w:cstheme="majorEastAsia"/>
                <w:sz w:val="21"/>
                <w:szCs w:val="21"/>
                <w:lang w:eastAsia="zh-CN"/>
              </w:rPr>
              <w:t xml:space="preserve">。</w:t>
            </w:r>
            <w:r/>
          </w:p>
        </w:tc>
        <w:tc>
          <w:tcPr>
            <w:tcBorders>
              <w:top w:val="single" w:color="auto" w:sz="4" w:space="0"/>
              <w:left w:val="single" w:color="auto" w:sz="4" w:space="0"/>
              <w:right w:val="single" w:color="auto" w:sz="4" w:space="0"/>
            </w:tcBorders>
            <w:tcW w:w="342"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11</w:t>
            </w:r>
            <w:r/>
          </w:p>
        </w:tc>
      </w:tr>
      <w:tr>
        <w:trPr>
          <w:trHeight w:val="1499"/>
        </w:trPr>
        <w:tc>
          <w:tcPr>
            <w:tcBorders>
              <w:left w:val="single" w:color="auto" w:sz="4" w:space="0"/>
              <w:right w:val="single" w:color="auto" w:sz="4" w:space="0"/>
            </w:tcBorders>
            <w:tcW w:w="382" w:type="pct"/>
            <w:vAlign w:val="center"/>
            <w:vMerge w:val="continue"/>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Borders>
              <w:left w:val="single" w:color="auto" w:sz="4" w:space="0"/>
              <w:right w:val="single" w:color="auto" w:sz="4" w:space="0"/>
            </w:tcBorders>
            <w:tcW w:w="771" w:type="pct"/>
            <w:vAlign w:val="center"/>
            <w:vMerge w:val="continue"/>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项目业绩</w:t>
            </w:r>
            <w:r/>
          </w:p>
        </w:tc>
        <w:tc>
          <w:tcPr>
            <w:tcBorders>
              <w:top w:val="single" w:color="auto" w:sz="4" w:space="0"/>
              <w:left w:val="single" w:color="auto" w:sz="4" w:space="0"/>
              <w:bottom w:val="single" w:color="auto" w:sz="4" w:space="0"/>
              <w:right w:val="single" w:color="auto" w:sz="4" w:space="0"/>
            </w:tcBorders>
            <w:tcW w:w="2894" w:type="pct"/>
            <w:vAlign w:val="center"/>
            <w:textDirection w:val="lrTb"/>
            <w:noWrap w:val="false"/>
          </w:tcPr>
          <w:p>
            <w:pPr>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投标人具有</w:t>
            </w:r>
            <w:r>
              <w:rPr>
                <w:rFonts w:hint="eastAsia" w:asciiTheme="majorEastAsia" w:hAnsiTheme="majorEastAsia" w:eastAsiaTheme="majorEastAsia" w:cstheme="majorEastAsia"/>
                <w:sz w:val="21"/>
                <w:szCs w:val="21"/>
                <w:highlight w:val="yellow"/>
              </w:rPr>
              <w:t xml:space="preserve">自202</w:t>
            </w:r>
            <w:r>
              <w:rPr>
                <w:rFonts w:hint="eastAsia" w:asciiTheme="majorEastAsia" w:hAnsiTheme="majorEastAsia" w:eastAsiaTheme="majorEastAsia" w:cstheme="majorEastAsia"/>
                <w:sz w:val="21"/>
                <w:szCs w:val="21"/>
                <w:highlight w:val="yellow"/>
                <w:lang w:val="en-US" w:eastAsia="zh-CN"/>
              </w:rPr>
              <w:t xml:space="preserve">2</w:t>
            </w:r>
            <w:r>
              <w:rPr>
                <w:rFonts w:hint="eastAsia" w:asciiTheme="majorEastAsia" w:hAnsiTheme="majorEastAsia" w:eastAsiaTheme="majorEastAsia" w:cstheme="majorEastAsia"/>
                <w:sz w:val="21"/>
                <w:szCs w:val="21"/>
                <w:highlight w:val="yellow"/>
              </w:rPr>
              <w:t xml:space="preserve">年</w:t>
            </w:r>
            <w:r>
              <w:rPr>
                <w:rFonts w:hint="eastAsia" w:asciiTheme="majorEastAsia" w:hAnsiTheme="majorEastAsia" w:eastAsiaTheme="majorEastAsia" w:cstheme="majorEastAsia"/>
                <w:sz w:val="21"/>
                <w:szCs w:val="21"/>
                <w:highlight w:val="yellow"/>
                <w:lang w:val="en-US" w:eastAsia="zh-CN"/>
              </w:rPr>
              <w:t xml:space="preserve">1月1日</w:t>
            </w:r>
            <w:r>
              <w:rPr>
                <w:rFonts w:hint="eastAsia" w:asciiTheme="majorEastAsia" w:hAnsiTheme="majorEastAsia" w:eastAsiaTheme="majorEastAsia" w:cstheme="majorEastAsia"/>
                <w:sz w:val="21"/>
                <w:szCs w:val="21"/>
                <w:highlight w:val="yellow"/>
              </w:rPr>
              <w:t xml:space="preserve">以来</w:t>
            </w:r>
            <w:r>
              <w:rPr>
                <w:rFonts w:hint="eastAsia" w:asciiTheme="majorEastAsia" w:hAnsiTheme="majorEastAsia" w:eastAsiaTheme="majorEastAsia" w:cstheme="majorEastAsia"/>
                <w:sz w:val="21"/>
                <w:szCs w:val="21"/>
              </w:rPr>
              <w:t xml:space="preserve">（以合同签订日期为准）类似项目业绩，每1个得</w:t>
            </w:r>
            <w:r>
              <w:rPr>
                <w:rFonts w:hint="eastAsia" w:asciiTheme="majorEastAsia" w:hAnsiTheme="majorEastAsia" w:eastAsiaTheme="majorEastAsia" w:cstheme="majorEastAsia"/>
                <w:sz w:val="21"/>
                <w:szCs w:val="21"/>
                <w:lang w:val="en-US" w:eastAsia="zh-CN"/>
              </w:rPr>
              <w:t xml:space="preserve">2</w:t>
            </w:r>
            <w:r>
              <w:rPr>
                <w:rFonts w:hint="eastAsia" w:asciiTheme="majorEastAsia" w:hAnsiTheme="majorEastAsia" w:eastAsiaTheme="majorEastAsia" w:cstheme="majorEastAsia"/>
                <w:sz w:val="21"/>
                <w:szCs w:val="21"/>
              </w:rPr>
              <w:t xml:space="preserve">分，最多得</w:t>
            </w:r>
            <w:r>
              <w:rPr>
                <w:rFonts w:hint="eastAsia" w:asciiTheme="majorEastAsia" w:hAnsiTheme="majorEastAsia" w:eastAsiaTheme="majorEastAsia" w:cstheme="majorEastAsia"/>
                <w:sz w:val="21"/>
                <w:szCs w:val="21"/>
                <w:lang w:val="en-US" w:eastAsia="zh-CN"/>
              </w:rPr>
              <w:t xml:space="preserve">8</w:t>
            </w:r>
            <w:r>
              <w:rPr>
                <w:rFonts w:hint="eastAsia" w:asciiTheme="majorEastAsia" w:hAnsiTheme="majorEastAsia" w:eastAsiaTheme="majorEastAsia" w:cstheme="majorEastAsia"/>
                <w:sz w:val="21"/>
                <w:szCs w:val="21"/>
              </w:rPr>
              <w:t xml:space="preserve">分。</w:t>
            </w:r>
            <w:r/>
          </w:p>
          <w:p>
            <w:pPr>
              <w:jc w:val="left"/>
              <w:rPr>
                <w:rFonts w:hint="eastAsia" w:asciiTheme="majorEastAsia" w:hAnsiTheme="majorEastAsia" w:eastAsiaTheme="majorEastAsia" w:cstheme="majorEastAsia"/>
                <w:sz w:val="21"/>
                <w:szCs w:val="21"/>
                <w:highlight w:val="yellow"/>
                <w:lang w:eastAsia="zh-CN"/>
              </w:rPr>
            </w:pPr>
            <w:r>
              <w:rPr>
                <w:rFonts w:hint="eastAsia" w:asciiTheme="majorEastAsia" w:hAnsiTheme="majorEastAsia" w:eastAsiaTheme="majorEastAsia" w:cstheme="majorEastAsia"/>
                <w:sz w:val="21"/>
                <w:szCs w:val="21"/>
                <w:highlight w:val="yellow"/>
              </w:rPr>
              <w:t xml:space="preserve">注：业绩证明材料应提供合同</w:t>
            </w:r>
            <w:r>
              <w:rPr>
                <w:rFonts w:hint="eastAsia" w:asciiTheme="majorEastAsia" w:hAnsiTheme="majorEastAsia" w:eastAsiaTheme="majorEastAsia" w:cstheme="majorEastAsia"/>
                <w:sz w:val="21"/>
                <w:szCs w:val="21"/>
                <w:highlight w:val="yellow"/>
                <w:lang w:eastAsia="zh-CN"/>
              </w:rPr>
              <w:t xml:space="preserve">（</w:t>
            </w:r>
            <w:r>
              <w:rPr>
                <w:rFonts w:hint="eastAsia" w:asciiTheme="majorEastAsia" w:hAnsiTheme="majorEastAsia" w:eastAsiaTheme="majorEastAsia" w:cstheme="majorEastAsia"/>
                <w:sz w:val="21"/>
                <w:szCs w:val="21"/>
                <w:highlight w:val="yellow"/>
                <w:lang w:val="en-US" w:eastAsia="zh-CN"/>
              </w:rPr>
              <w:t xml:space="preserve">或协议）</w:t>
            </w:r>
            <w:r>
              <w:rPr>
                <w:rFonts w:hint="eastAsia" w:asciiTheme="majorEastAsia" w:hAnsiTheme="majorEastAsia" w:eastAsiaTheme="majorEastAsia" w:cstheme="majorEastAsia"/>
                <w:sz w:val="21"/>
                <w:szCs w:val="21"/>
                <w:highlight w:val="yellow"/>
              </w:rPr>
              <w:t xml:space="preserve">证明材料</w:t>
            </w:r>
            <w:r>
              <w:rPr>
                <w:rFonts w:hint="eastAsia" w:asciiTheme="majorEastAsia" w:hAnsiTheme="majorEastAsia" w:eastAsiaTheme="majorEastAsia" w:cstheme="majorEastAsia"/>
                <w:sz w:val="21"/>
                <w:szCs w:val="21"/>
                <w:highlight w:val="yellow"/>
                <w:lang w:eastAsia="zh-CN"/>
              </w:rPr>
              <w:t xml:space="preserve">。</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8</w:t>
            </w:r>
            <w:r/>
          </w:p>
        </w:tc>
      </w:tr>
      <w:tr>
        <w:trPr>
          <w:trHeight w:val="1204"/>
        </w:trPr>
        <w:tc>
          <w:tcPr>
            <w:tcBorders>
              <w:left w:val="single" w:color="auto" w:sz="4" w:space="0"/>
              <w:right w:val="single" w:color="auto" w:sz="4" w:space="0"/>
            </w:tcBorders>
            <w:tcW w:w="382" w:type="pct"/>
            <w:vAlign w:val="center"/>
            <w:vMerge w:val="continue"/>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Borders>
              <w:left w:val="single" w:color="auto" w:sz="4" w:space="0"/>
              <w:right w:val="single" w:color="auto" w:sz="4" w:space="0"/>
            </w:tcBorders>
            <w:tcW w:w="771" w:type="pct"/>
            <w:vAlign w:val="center"/>
            <w:vMerge w:val="continue"/>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履约能力</w:t>
            </w:r>
            <w:r/>
          </w:p>
        </w:tc>
        <w:tc>
          <w:tcPr>
            <w:shd w:val="clear" w:color="auto" w:fill="auto"/>
            <w:tcBorders>
              <w:top w:val="single" w:color="auto" w:sz="4" w:space="0"/>
              <w:left w:val="single" w:color="auto" w:sz="4" w:space="0"/>
              <w:bottom w:val="single" w:color="auto" w:sz="4" w:space="0"/>
              <w:right w:val="single" w:color="auto" w:sz="4" w:space="0"/>
            </w:tcBorders>
            <w:tcW w:w="2894" w:type="pct"/>
            <w:vAlign w:val="center"/>
            <w:textDirection w:val="lrTb"/>
            <w:noWrap w:val="false"/>
          </w:tcPr>
          <w:p>
            <w:pPr>
              <w:jc w:val="left"/>
              <w:rPr>
                <w:rFonts w:hint="eastAsia" w:asciiTheme="majorEastAsia" w:hAnsiTheme="majorEastAsia" w:eastAsiaTheme="majorEastAsia" w:cstheme="majorEastAsia"/>
                <w:strike/>
                <w:color w:val="a4a4a4"/>
                <w:sz w:val="21"/>
                <w:szCs w:val="21"/>
                <w:shd w:val="clear" w:color="auto"/>
                <w:lang w:val="en-US" w:eastAsia="zh-CN" w:bidi="ar-SA"/>
              </w:rPr>
            </w:pPr>
            <w:r>
              <w:rPr>
                <w:rFonts w:hint="eastAsia" w:asciiTheme="majorEastAsia" w:hAnsiTheme="majorEastAsia" w:eastAsiaTheme="majorEastAsia" w:cstheme="majorEastAsia"/>
                <w:sz w:val="21"/>
                <w:szCs w:val="21"/>
                <w:lang w:val="en-US" w:eastAsia="zh-CN"/>
              </w:rPr>
              <w:t xml:space="preserve">投标人应确保所投网络安全综合管理平台能够实现与省级通报平台的对接，保障满足全省网信系统技术一体化体系互联互通要求，投标时需提供相关承诺函。</w:t>
            </w:r>
            <w:r/>
          </w:p>
        </w:tc>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bidi="ar-SA"/>
              </w:rPr>
            </w:pPr>
            <w:r>
              <w:rPr>
                <w:rFonts w:hint="eastAsia" w:asciiTheme="majorEastAsia" w:hAnsiTheme="majorEastAsia" w:eastAsiaTheme="majorEastAsia" w:cstheme="majorEastAsia"/>
                <w:sz w:val="21"/>
                <w:szCs w:val="21"/>
                <w:lang w:val="en-US" w:eastAsia="zh-CN"/>
              </w:rPr>
              <w:t xml:space="preserve">8</w:t>
            </w:r>
            <w:r/>
          </w:p>
        </w:tc>
      </w:tr>
      <w:tr>
        <w:trPr>
          <w:trHeight w:val="1819"/>
        </w:trPr>
        <w:tc>
          <w:tcPr>
            <w:tcBorders>
              <w:left w:val="single" w:color="auto" w:sz="4" w:space="0"/>
              <w:right w:val="single" w:color="auto" w:sz="4" w:space="0"/>
            </w:tcBorders>
            <w:tcW w:w="382" w:type="pct"/>
            <w:vAlign w:val="center"/>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Borders>
              <w:left w:val="single" w:color="auto" w:sz="4" w:space="0"/>
              <w:right w:val="single" w:color="auto" w:sz="4" w:space="0"/>
            </w:tcBorders>
            <w:tcW w:w="771" w:type="pct"/>
            <w:vAlign w:val="center"/>
            <w:vMerge w:val="continue"/>
            <w:textDirection w:val="lrTb"/>
            <w:noWrap w:val="false"/>
          </w:tcPr>
          <w:p>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技术参数</w:t>
            </w:r>
            <w:r/>
          </w:p>
        </w:tc>
        <w:tc>
          <w:tcPr>
            <w:tcBorders>
              <w:top w:val="single" w:color="auto" w:sz="4" w:space="0"/>
              <w:left w:val="single" w:color="auto" w:sz="4" w:space="0"/>
              <w:right w:val="single" w:color="auto" w:sz="4" w:space="0"/>
            </w:tcBorders>
            <w:tcW w:w="2894" w:type="pct"/>
            <w:vAlign w:val="center"/>
            <w:textDirection w:val="lrTb"/>
            <w:noWrap w:val="false"/>
          </w:tcPr>
          <w:p>
            <w:pPr>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highlight w:val="yellow"/>
              </w:rPr>
              <w:t xml:space="preserve">根据投标人</w:t>
            </w:r>
            <w:r>
              <w:rPr>
                <w:rFonts w:hint="eastAsia" w:asciiTheme="majorEastAsia" w:hAnsiTheme="majorEastAsia" w:eastAsiaTheme="majorEastAsia" w:cstheme="majorEastAsia"/>
                <w:sz w:val="21"/>
                <w:szCs w:val="21"/>
                <w:highlight w:val="yellow"/>
                <w:lang w:val="en-US" w:eastAsia="zh-CN"/>
              </w:rPr>
              <w:t xml:space="preserve">对采购</w:t>
            </w:r>
            <w:r>
              <w:rPr>
                <w:rFonts w:hint="eastAsia" w:asciiTheme="majorEastAsia" w:hAnsiTheme="majorEastAsia" w:eastAsiaTheme="majorEastAsia" w:cstheme="majorEastAsia"/>
                <w:sz w:val="21"/>
                <w:szCs w:val="21"/>
                <w:highlight w:val="yellow"/>
              </w:rPr>
              <w:t xml:space="preserve">文件</w:t>
            </w:r>
            <w:r>
              <w:rPr>
                <w:rFonts w:hint="eastAsia" w:asciiTheme="majorEastAsia" w:hAnsiTheme="majorEastAsia" w:eastAsiaTheme="majorEastAsia" w:cstheme="majorEastAsia"/>
                <w:sz w:val="21"/>
                <w:szCs w:val="21"/>
                <w:highlight w:val="yellow"/>
                <w:lang w:val="en-US" w:eastAsia="zh-CN"/>
              </w:rPr>
              <w:t xml:space="preserve">第四章 第三条 具体要求中</w:t>
            </w:r>
            <w:r>
              <w:rPr>
                <w:rFonts w:hint="eastAsia" w:asciiTheme="majorEastAsia" w:hAnsiTheme="majorEastAsia" w:eastAsiaTheme="majorEastAsia" w:cstheme="majorEastAsia"/>
                <w:sz w:val="21"/>
                <w:szCs w:val="21"/>
                <w:highlight w:val="yellow"/>
              </w:rPr>
              <w:t xml:space="preserve">的技术参数</w:t>
            </w:r>
            <w:r>
              <w:rPr>
                <w:rFonts w:hint="eastAsia" w:asciiTheme="majorEastAsia" w:hAnsiTheme="majorEastAsia" w:eastAsiaTheme="majorEastAsia" w:cstheme="majorEastAsia"/>
                <w:sz w:val="21"/>
                <w:szCs w:val="21"/>
                <w:highlight w:val="yellow"/>
                <w:lang w:val="en-US" w:eastAsia="zh-CN"/>
              </w:rPr>
              <w:t xml:space="preserve">响应情况</w:t>
            </w:r>
            <w:r>
              <w:rPr>
                <w:rFonts w:hint="eastAsia" w:asciiTheme="majorEastAsia" w:hAnsiTheme="majorEastAsia" w:eastAsiaTheme="majorEastAsia" w:cstheme="majorEastAsia"/>
                <w:sz w:val="21"/>
                <w:szCs w:val="21"/>
                <w:highlight w:val="yellow"/>
              </w:rPr>
              <w:t xml:space="preserve">进行比较，参数满足</w:t>
            </w:r>
            <w:r>
              <w:rPr>
                <w:rFonts w:hint="eastAsia" w:asciiTheme="majorEastAsia" w:hAnsiTheme="majorEastAsia" w:eastAsiaTheme="majorEastAsia" w:cstheme="majorEastAsia"/>
                <w:sz w:val="21"/>
                <w:szCs w:val="21"/>
                <w:highlight w:val="yellow"/>
                <w:lang w:val="en-US" w:eastAsia="zh-CN"/>
              </w:rPr>
              <w:t xml:space="preserve">采购</w:t>
            </w:r>
            <w:r>
              <w:rPr>
                <w:rFonts w:hint="eastAsia" w:asciiTheme="majorEastAsia" w:hAnsiTheme="majorEastAsia" w:eastAsiaTheme="majorEastAsia" w:cstheme="majorEastAsia"/>
                <w:sz w:val="21"/>
                <w:szCs w:val="21"/>
                <w:highlight w:val="yellow"/>
              </w:rPr>
              <w:t xml:space="preserve">文件要求</w:t>
            </w:r>
            <w:r>
              <w:rPr>
                <w:rFonts w:hint="eastAsia" w:asciiTheme="majorEastAsia" w:hAnsiTheme="majorEastAsia" w:eastAsiaTheme="majorEastAsia" w:cstheme="majorEastAsia"/>
                <w:sz w:val="21"/>
                <w:szCs w:val="21"/>
                <w:highlight w:val="yellow"/>
                <w:lang w:val="en-US" w:eastAsia="zh-CN"/>
              </w:rPr>
              <w:t xml:space="preserve">的</w:t>
            </w:r>
            <w:r>
              <w:rPr>
                <w:rFonts w:hint="eastAsia" w:asciiTheme="majorEastAsia" w:hAnsiTheme="majorEastAsia" w:eastAsiaTheme="majorEastAsia" w:cstheme="majorEastAsia"/>
                <w:sz w:val="21"/>
                <w:szCs w:val="21"/>
                <w:highlight w:val="yellow"/>
              </w:rPr>
              <w:t xml:space="preserve">得</w:t>
            </w:r>
            <w:r>
              <w:rPr>
                <w:rFonts w:hint="eastAsia" w:asciiTheme="majorEastAsia" w:hAnsiTheme="majorEastAsia" w:eastAsiaTheme="majorEastAsia" w:cstheme="majorEastAsia"/>
                <w:sz w:val="21"/>
                <w:szCs w:val="21"/>
                <w:highlight w:val="yellow"/>
                <w:lang w:val="en-US" w:eastAsia="zh-CN"/>
              </w:rPr>
              <w:t xml:space="preserve">8</w:t>
            </w:r>
            <w:r>
              <w:rPr>
                <w:rFonts w:hint="eastAsia" w:asciiTheme="majorEastAsia" w:hAnsiTheme="majorEastAsia" w:eastAsiaTheme="majorEastAsia" w:cstheme="majorEastAsia"/>
                <w:sz w:val="21"/>
                <w:szCs w:val="21"/>
                <w:highlight w:val="yellow"/>
              </w:rPr>
              <w:t xml:space="preserve">分</w:t>
            </w:r>
            <w:r>
              <w:rPr>
                <w:rFonts w:hint="eastAsia" w:asciiTheme="majorEastAsia" w:hAnsiTheme="majorEastAsia" w:eastAsiaTheme="majorEastAsia" w:cstheme="majorEastAsia"/>
                <w:sz w:val="21"/>
                <w:szCs w:val="21"/>
                <w:highlight w:val="yellow"/>
                <w:lang w:eastAsia="zh-CN"/>
              </w:rPr>
              <w:t xml:space="preserve">，</w:t>
            </w:r>
            <w:r>
              <w:rPr>
                <w:rFonts w:hint="eastAsia" w:asciiTheme="majorEastAsia" w:hAnsiTheme="majorEastAsia" w:eastAsiaTheme="majorEastAsia" w:cstheme="majorEastAsia"/>
                <w:sz w:val="21"/>
                <w:szCs w:val="21"/>
                <w:highlight w:val="yellow"/>
                <w:lang w:val="en-US" w:eastAsia="zh-CN"/>
              </w:rPr>
              <w:t xml:space="preserve">其中，3个</w:t>
            </w:r>
            <w:r>
              <w:rPr>
                <w:rFonts w:hint="eastAsia" w:asciiTheme="majorEastAsia" w:hAnsiTheme="majorEastAsia" w:eastAsiaTheme="majorEastAsia" w:cstheme="majorEastAsia"/>
                <w:sz w:val="21"/>
                <w:szCs w:val="21"/>
                <w:highlight w:val="yellow"/>
              </w:rPr>
              <w:t xml:space="preserve">加★项为重要技术要求，有一项负偏离扣</w:t>
            </w:r>
            <w:r>
              <w:rPr>
                <w:rFonts w:hint="eastAsia" w:asciiTheme="majorEastAsia" w:hAnsiTheme="majorEastAsia" w:eastAsiaTheme="majorEastAsia" w:cstheme="majorEastAsia"/>
                <w:sz w:val="21"/>
                <w:szCs w:val="21"/>
                <w:highlight w:val="yellow"/>
                <w:lang w:val="en-US" w:eastAsia="zh-CN"/>
              </w:rPr>
              <w:t xml:space="preserve">1</w:t>
            </w:r>
            <w:r>
              <w:rPr>
                <w:rFonts w:hint="eastAsia" w:asciiTheme="majorEastAsia" w:hAnsiTheme="majorEastAsia" w:eastAsiaTheme="majorEastAsia" w:cstheme="majorEastAsia"/>
                <w:sz w:val="21"/>
                <w:szCs w:val="21"/>
                <w:highlight w:val="yellow"/>
              </w:rPr>
              <w:t xml:space="preserve">分；其他</w:t>
            </w:r>
            <w:r>
              <w:rPr>
                <w:rFonts w:hint="eastAsia" w:asciiTheme="majorEastAsia" w:hAnsiTheme="majorEastAsia" w:eastAsiaTheme="majorEastAsia" w:cstheme="majorEastAsia"/>
                <w:sz w:val="21"/>
                <w:szCs w:val="21"/>
                <w:highlight w:val="yellow"/>
                <w:lang w:val="en-US" w:eastAsia="zh-CN"/>
              </w:rPr>
              <w:t xml:space="preserve">25项</w:t>
            </w:r>
            <w:r>
              <w:rPr>
                <w:rFonts w:hint="eastAsia" w:asciiTheme="majorEastAsia" w:hAnsiTheme="majorEastAsia" w:eastAsiaTheme="majorEastAsia" w:cstheme="majorEastAsia"/>
                <w:sz w:val="21"/>
                <w:szCs w:val="21"/>
                <w:highlight w:val="yellow"/>
              </w:rPr>
              <w:t xml:space="preserve">参数每有一条负偏离的扣</w:t>
            </w:r>
            <w:r>
              <w:rPr>
                <w:rFonts w:hint="eastAsia" w:asciiTheme="majorEastAsia" w:hAnsiTheme="majorEastAsia" w:eastAsiaTheme="majorEastAsia" w:cstheme="majorEastAsia"/>
                <w:sz w:val="21"/>
                <w:szCs w:val="21"/>
                <w:highlight w:val="yellow"/>
                <w:lang w:val="en-US" w:eastAsia="zh-CN"/>
              </w:rPr>
              <w:t xml:space="preserve">0.2</w:t>
            </w:r>
            <w:r>
              <w:rPr>
                <w:rFonts w:hint="eastAsia" w:asciiTheme="majorEastAsia" w:hAnsiTheme="majorEastAsia" w:eastAsiaTheme="majorEastAsia" w:cstheme="majorEastAsia"/>
                <w:sz w:val="21"/>
                <w:szCs w:val="21"/>
                <w:highlight w:val="yellow"/>
              </w:rPr>
              <w:t xml:space="preserve">分，扣完为止。</w:t>
            </w:r>
            <w:r/>
          </w:p>
        </w:tc>
        <w:tc>
          <w:tcPr>
            <w:tcBorders>
              <w:top w:val="single" w:color="auto" w:sz="4" w:space="0"/>
              <w:left w:val="single" w:color="auto" w:sz="4" w:space="0"/>
              <w:right w:val="single" w:color="auto" w:sz="4" w:space="0"/>
            </w:tcBorders>
            <w:tcW w:w="342" w:type="pct"/>
            <w:vAlign w:val="center"/>
            <w:textDirection w:val="lrTb"/>
            <w:noWrap w:val="false"/>
          </w:tcPr>
          <w:p>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 xml:space="preserve">8</w:t>
            </w:r>
            <w:bookmarkEnd w:id="112"/>
            <w:bookmarkEnd w:id="113"/>
            <w:bookmarkEnd w:id="114"/>
            <w:bookmarkEnd w:id="115"/>
            <w:bookmarkEnd w:id="116"/>
            <w:r/>
          </w:p>
        </w:tc>
      </w:tr>
    </w:tbl>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2.评委依据采购文件载明的方法评分，评分四舍五入精确到小数点后两位。</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3.政府采购政策功能的落实：</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3.1</w:t>
      </w:r>
      <w:r>
        <w:rPr>
          <w:rFonts w:hint="eastAsia" w:ascii="宋体" w:hAnsi="宋体" w:cs="宋体"/>
          <w:b w:val="0"/>
          <w:bCs w:val="0"/>
          <w:szCs w:val="21"/>
          <w:highlight w:val="none"/>
        </w:rPr>
        <w:t xml:space="preserve">小微型企业价格扣除</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（1）本项目对小型和微型企业产品/本项目对小型和微型企业提供的服务 给予10%的扣除价格，用扣除后的价格参与评审。</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（2）供应商需按照采购文件的要求提供相应的《中小企业声明函》。</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3.2</w:t>
      </w:r>
      <w:r>
        <w:rPr>
          <w:rFonts w:hint="eastAsia" w:ascii="宋体" w:hAnsi="宋体" w:cs="宋体"/>
          <w:b w:val="0"/>
          <w:bCs w:val="0"/>
          <w:szCs w:val="21"/>
          <w:highlight w:val="none"/>
        </w:rPr>
        <w:t xml:space="preserve">残疾人福利单位价格扣除</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（1）本项目对残疾人福利性单位视同小型、微型企业，给予10%的价格扣除，用扣除后的价格参与评审。</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（2）残疾人福利单位需按照采购文件的要求提供《残疾人福利性单位声明函》。</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（3）残疾人福利单位标准请参照《关于促进残疾人就业政府采购政策的通知》（财库〔2017〕141号）。</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3.3</w:t>
      </w:r>
      <w:r>
        <w:rPr>
          <w:rFonts w:hint="eastAsia" w:ascii="宋体" w:hAnsi="宋体" w:cs="宋体"/>
          <w:b w:val="0"/>
          <w:bCs w:val="0"/>
          <w:szCs w:val="21"/>
          <w:highlight w:val="none"/>
        </w:rPr>
        <w:t xml:space="preserve">监狱和戒毒企业价格扣除</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（1）本项目对监狱和戒毒企业（简称监狱企业）视同小型、微型企业，给予10%的价格扣除，用扣除后的价格参与评审。</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（3）监狱企业标准请参照《关于政府采购支持监狱企业发展有关问题的通知》（财库〔2014〕68号）。</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3.4</w:t>
      </w:r>
      <w:r>
        <w:rPr>
          <w:rFonts w:hint="eastAsia" w:ascii="宋体" w:hAnsi="宋体" w:cs="宋体"/>
          <w:b w:val="0"/>
          <w:bCs w:val="0"/>
          <w:szCs w:val="21"/>
          <w:highlight w:val="none"/>
        </w:rPr>
        <w:t xml:space="preserve">残疾人福利单位、监狱企业属于小型、微型企业的，不重复享受政策。</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3.5</w:t>
      </w:r>
      <w:r>
        <w:rPr>
          <w:rFonts w:hint="eastAsia" w:ascii="宋体" w:hAnsi="宋体" w:cs="宋体"/>
          <w:b w:val="0"/>
          <w:bCs w:val="0"/>
          <w:szCs w:val="21"/>
          <w:highlight w:val="none"/>
        </w:rPr>
        <w:t xml:space="preserve">本项目联合体参加磋商的,大中型企业与小微型企业（残疾人福利单位、监狱企业）组成联合体或者大中型企业向一家或多家小微型企业采购包，联合协议中约定小微型企业（残疾人福利单位、监狱企业）的合同份额占到合同总金额30%以上的，给予联合体或者大中型企业4%的价格扣除，用扣除后的价格参与评审。</w:t>
      </w:r>
      <w:r/>
    </w:p>
    <w:p>
      <w:pPr>
        <w:ind w:firstLine="48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3.6</w:t>
      </w:r>
      <w:r>
        <w:rPr>
          <w:rFonts w:hint="eastAsia" w:ascii="宋体" w:hAnsi="宋体" w:cs="宋体"/>
          <w:b w:val="0"/>
          <w:bCs w:val="0"/>
          <w:szCs w:val="21"/>
          <w:highlight w:val="none"/>
        </w:rPr>
        <w:t xml:space="preserve">联合体各方均为小型、微型企业（残疾人福利单位、监狱企业）的，联合体享受10%价格扣除，用扣除后的价格参与评审。</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六、成交供应商的确定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七、公告成交结果及发放成交通知书</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883"/>
        <w:pageBreakBefore w:val="0"/>
        <w:spacing w:line="360" w:lineRule="auto"/>
        <w:tabs>
          <w:tab w:val="left" w:pos="360" w:leader="none"/>
          <w:tab w:val="left" w:pos="1080" w:leader="none"/>
        </w:tabs>
        <w:rPr>
          <w:rFonts w:hint="eastAsia" w:ascii="宋体" w:hAnsi="宋体" w:cs="宋体"/>
          <w:b/>
          <w:bCs/>
          <w:szCs w:val="21"/>
          <w:highlight w:val="none"/>
        </w:rPr>
      </w:pPr>
      <w:r>
        <w:rPr>
          <w:rFonts w:hint="eastAsia"/>
          <w:b/>
          <w:sz w:val="44"/>
          <w:szCs w:val="44"/>
          <w:highlight w:val="none"/>
        </w:rPr>
        <w:br w:type="page" w:clear="all"/>
      </w:r>
      <w:r/>
    </w:p>
    <w:p>
      <w:pPr>
        <w:pStyle w:val="920"/>
        <w:pageBreakBefore w:val="0"/>
        <w:spacing w:line="360" w:lineRule="auto"/>
        <w:rPr>
          <w:rFonts w:hint="eastAsia" w:ascii="宋体" w:hAnsi="宋体"/>
          <w:bCs w:val="0"/>
          <w:sz w:val="21"/>
          <w:szCs w:val="21"/>
          <w:highlight w:val="none"/>
        </w:rPr>
      </w:pPr>
      <w:r/>
      <w:bookmarkStart w:id="117" w:name="_Toc107246273"/>
      <w:r>
        <w:rPr>
          <w:rFonts w:hint="eastAsia" w:ascii="宋体" w:hAnsi="宋体"/>
          <w:bCs w:val="0"/>
          <w:sz w:val="21"/>
          <w:szCs w:val="21"/>
          <w:highlight w:val="none"/>
        </w:rPr>
        <w:t xml:space="preserve">第六章 响应文件格式</w:t>
      </w:r>
      <w:bookmarkEnd w:id="117"/>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一、资格审查文件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2.法定代表人授权委托书及授权委托人身份证复印件（如有）；</w:t>
      </w:r>
      <w:r/>
    </w:p>
    <w:p>
      <w:pPr>
        <w:ind w:firstLine="480"/>
        <w:pageBreakBefore w:val="0"/>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u w:val="single"/>
        </w:rPr>
        <w:t xml:space="preserve">3.</w:t>
      </w:r>
      <w:r>
        <w:rPr>
          <w:rFonts w:hint="eastAsia" w:ascii="宋体" w:hAnsi="宋体" w:cs="宋体"/>
          <w:szCs w:val="21"/>
          <w:highlight w:val="none"/>
          <w:u w:val="single"/>
          <w:lang w:val="en-US" w:eastAsia="zh-CN"/>
        </w:rPr>
        <w:t xml:space="preserve">联合体协议书（如有）；</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4.</w:t>
      </w:r>
      <w:r>
        <w:rPr>
          <w:rFonts w:hint="eastAsia" w:ascii="宋体" w:hAnsi="宋体" w:cs="宋体"/>
          <w:szCs w:val="21"/>
          <w:highlight w:val="none"/>
          <w:u w:val="single"/>
        </w:rPr>
        <w:t xml:space="preserve">响应人</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联合体各方）</w:t>
      </w:r>
      <w:r>
        <w:rPr>
          <w:rFonts w:hint="eastAsia" w:ascii="宋体" w:hAnsi="宋体" w:cs="宋体"/>
          <w:szCs w:val="21"/>
          <w:highlight w:val="none"/>
          <w:u w:val="single"/>
        </w:rPr>
        <w:t xml:space="preserve">营业执照复印件；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.供应商</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联合体各方）</w:t>
      </w:r>
      <w:r>
        <w:rPr>
          <w:rFonts w:hint="eastAsia" w:ascii="宋体" w:hAnsi="宋体" w:cs="宋体"/>
          <w:szCs w:val="21"/>
          <w:highlight w:val="none"/>
          <w:u w:val="single"/>
        </w:rPr>
        <w:t xml:space="preserve">近六个月中任意一个月（不含投标当月）的财务状况报告（资产负债表和利润表）或由会计师事务所出具的近两年中任意一个年度的审计报告和所附已审财务报告扫描件； </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.供应商</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联合体各方）</w:t>
      </w:r>
      <w:r>
        <w:rPr>
          <w:rFonts w:hint="eastAsia" w:ascii="宋体" w:hAnsi="宋体" w:cs="宋体"/>
          <w:szCs w:val="21"/>
          <w:highlight w:val="none"/>
          <w:u w:val="single"/>
        </w:rPr>
        <w:t xml:space="preserve">近六个月中任意一个月（不含投标当月）的依法缴纳税收的相关材料（提供相关主管部门证明或银行代扣证明）扫描件； </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7</w:t>
      </w:r>
      <w:r>
        <w:rPr>
          <w:rFonts w:hint="eastAsia" w:ascii="宋体" w:hAnsi="宋体" w:cs="宋体"/>
          <w:szCs w:val="21"/>
          <w:highlight w:val="none"/>
          <w:u w:val="single"/>
        </w:rPr>
        <w:t xml:space="preserve">.提供供应商</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联合体各方）</w:t>
      </w:r>
      <w:r>
        <w:rPr>
          <w:rFonts w:hint="eastAsia" w:ascii="宋体" w:hAnsi="宋体" w:cs="宋体"/>
          <w:szCs w:val="21"/>
          <w:highlight w:val="none"/>
          <w:u w:val="single"/>
        </w:rPr>
        <w:t xml:space="preserve">近六个月中任意一个月（不含投标当月）的所在地社保机构出具的</w:t>
      </w:r>
      <w:r>
        <w:rPr>
          <w:rFonts w:hint="eastAsia" w:ascii="宋体" w:hAnsi="宋体" w:cs="宋体"/>
          <w:bCs/>
          <w:szCs w:val="21"/>
          <w:highlight w:val="none"/>
          <w:u w:val="single"/>
        </w:rPr>
        <w:t xml:space="preserve">社保缴费证明材料</w:t>
      </w:r>
      <w:r>
        <w:rPr>
          <w:rFonts w:hint="eastAsia" w:ascii="宋体" w:hAnsi="宋体" w:cs="宋体"/>
          <w:szCs w:val="21"/>
          <w:highlight w:val="none"/>
          <w:u w:val="single"/>
        </w:rPr>
        <w:t xml:space="preserve">，</w:t>
      </w:r>
      <w:r>
        <w:rPr>
          <w:rFonts w:hint="eastAsia" w:ascii="宋体" w:hAnsi="宋体" w:cs="宋体"/>
          <w:bCs/>
          <w:szCs w:val="21"/>
          <w:highlight w:val="none"/>
          <w:u w:val="single"/>
        </w:rPr>
        <w:t xml:space="preserve">成立不满一年的投标人无需提供社保缴费证明材料，但需提供书面情况说明及相关凭证</w:t>
      </w:r>
      <w:r>
        <w:rPr>
          <w:rFonts w:hint="eastAsia" w:ascii="宋体" w:hAnsi="宋体" w:cs="宋体"/>
          <w:szCs w:val="21"/>
          <w:highlight w:val="none"/>
          <w:u w:val="single"/>
        </w:rPr>
        <w:t xml:space="preserve">；</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8</w:t>
      </w: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供应商（联合体各方）</w:t>
      </w:r>
      <w:r>
        <w:rPr>
          <w:rFonts w:hint="eastAsia" w:ascii="宋体" w:hAnsi="宋体" w:cs="宋体"/>
          <w:szCs w:val="21"/>
          <w:highlight w:val="none"/>
          <w:u w:val="single"/>
        </w:rPr>
        <w:t xml:space="preserve">符合《中华人民共和国政府采购法》第二十二条规定条件的承诺函；</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9</w:t>
      </w:r>
      <w:r>
        <w:rPr>
          <w:rFonts w:hint="eastAsia" w:ascii="宋体" w:hAnsi="宋体" w:cs="宋体"/>
          <w:szCs w:val="21"/>
          <w:highlight w:val="none"/>
          <w:u w:val="single"/>
        </w:rPr>
        <w:t xml:space="preserve">.诚信承诺书</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联合体各方均需提供）</w:t>
      </w:r>
      <w:r>
        <w:rPr>
          <w:rFonts w:hint="eastAsia" w:ascii="宋体" w:hAnsi="宋体" w:cs="宋体"/>
          <w:szCs w:val="21"/>
          <w:highlight w:val="none"/>
          <w:u w:val="single"/>
        </w:rPr>
        <w:t xml:space="preserve">；</w:t>
      </w:r>
      <w:r/>
    </w:p>
    <w:p>
      <w:pPr>
        <w:ind w:firstLine="480"/>
        <w:pageBreakBefore w:val="0"/>
        <w:spacing w:line="360" w:lineRule="auto"/>
        <w:rPr>
          <w:rFonts w:hint="eastAsia" w:ascii="宋体" w:hAnsi="宋体" w:cs="宋体"/>
          <w:bCs/>
          <w:szCs w:val="21"/>
          <w:highlight w:val="none"/>
          <w:u w:val="single"/>
        </w:rPr>
      </w:pPr>
      <w:r>
        <w:rPr>
          <w:rFonts w:hint="eastAsia" w:ascii="宋体" w:hAnsi="宋体" w:cs="宋体"/>
          <w:bCs/>
          <w:szCs w:val="21"/>
          <w:highlight w:val="none"/>
          <w:u w:val="single"/>
          <w:lang w:val="en-US" w:eastAsia="zh-CN"/>
        </w:rPr>
        <w:t xml:space="preserve">10</w:t>
      </w:r>
      <w:r>
        <w:rPr>
          <w:rFonts w:hint="eastAsia" w:ascii="宋体" w:hAnsi="宋体" w:cs="宋体"/>
          <w:bCs/>
          <w:szCs w:val="21"/>
          <w:highlight w:val="none"/>
          <w:u w:val="single"/>
        </w:rPr>
        <w:t xml:space="preserve">.供应商</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lang w:val="en-US" w:eastAsia="zh-CN"/>
        </w:rPr>
        <w:t xml:space="preserve">联合体各方）</w:t>
      </w:r>
      <w:r>
        <w:rPr>
          <w:rFonts w:hint="eastAsia" w:ascii="宋体" w:hAnsi="宋体" w:cs="宋体"/>
          <w:bCs/>
          <w:szCs w:val="21"/>
          <w:highlight w:val="none"/>
          <w:u w:val="single"/>
        </w:rPr>
        <w:t xml:space="preserve">未被列入失信被执行人名单、政府采购严重违法失信行为记录名单网站查询证明材料；</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bCs/>
          <w:szCs w:val="21"/>
          <w:highlight w:val="none"/>
          <w:u w:val="single"/>
        </w:rPr>
        <w:t xml:space="preserve">1</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.《中小企业声明函》或《残疾人福利性单位声明函》或监狱和戒毒企业证明材料</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联合体各方均需提供）</w:t>
      </w:r>
      <w:r>
        <w:rPr>
          <w:rFonts w:hint="eastAsia" w:ascii="宋体" w:hAnsi="宋体" w:cs="宋体"/>
          <w:bCs/>
          <w:szCs w:val="21"/>
          <w:highlight w:val="none"/>
          <w:u w:val="single"/>
        </w:rPr>
        <w:t xml:space="preserve">。</w:t>
      </w:r>
      <w:r/>
    </w:p>
    <w:p>
      <w:pPr>
        <w:ind w:firstLine="480"/>
        <w:pageBreakBefore w:val="0"/>
        <w:spacing w:line="360" w:lineRule="auto"/>
        <w:rPr>
          <w:rFonts w:hint="eastAsia" w:cs="宋体"/>
          <w:highlight w:val="none"/>
          <w:lang w:val="zh-CN" w:eastAsia="zh-CN"/>
        </w:rPr>
      </w:pPr>
      <w:r>
        <w:rPr>
          <w:rFonts w:hint="eastAsia" w:ascii="宋体" w:hAnsi="宋体" w:cs="宋体"/>
          <w:szCs w:val="21"/>
          <w:highlight w:val="none"/>
        </w:rPr>
        <w:t xml:space="preserve">注：上述1—1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中任何一条不符合要求，则资格性审查不通过，按无效响应文件处理</w:t>
      </w:r>
      <w:r>
        <w:rPr>
          <w:rFonts w:hint="eastAsia" w:cs="宋体"/>
          <w:highlight w:val="none"/>
          <w:lang w:val="zh-CN" w:eastAsia="zh-CN"/>
        </w:rPr>
        <w:t xml:space="preserve">（</w:t>
      </w:r>
      <w:r>
        <w:rPr>
          <w:rFonts w:hint="eastAsia" w:ascii="宋体" w:hAnsi="宋体" w:cs="宋体"/>
          <w:szCs w:val="21"/>
          <w:highlight w:val="none"/>
          <w:lang w:val="en-US" w:eastAsia="zh-CN"/>
        </w:rPr>
        <w:t xml:space="preserve">如为联合体投标的，联合体各方均需提供。</w:t>
      </w:r>
      <w:r>
        <w:rPr>
          <w:rFonts w:hint="eastAsia" w:cs="宋体"/>
          <w:highlight w:val="none"/>
          <w:lang w:eastAsia="zh-CN"/>
        </w:rPr>
        <w:t xml:space="preserve">磋商</w:t>
      </w:r>
      <w:r>
        <w:rPr>
          <w:rFonts w:hint="eastAsia" w:cs="宋体"/>
          <w:highlight w:val="none"/>
          <w:lang w:val="zh-CN" w:eastAsia="zh-CN"/>
        </w:rPr>
        <w:t xml:space="preserve">文件要求提供的</w:t>
      </w:r>
      <w:r>
        <w:rPr>
          <w:rFonts w:hint="eastAsia" w:cs="宋体"/>
          <w:b/>
          <w:bCs/>
          <w:highlight w:val="none"/>
          <w:lang w:val="zh-CN" w:eastAsia="zh-CN"/>
        </w:rPr>
        <w:t xml:space="preserve">资格审查证明材料</w:t>
      </w:r>
      <w:r>
        <w:rPr>
          <w:rFonts w:hint="eastAsia" w:cs="宋体"/>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二、符合性审查文件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1.竞争性磋商响应函（格式参见第六章）；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2.报价分析表（格式自拟）；</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3.供应商情况表；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第四章要求的相关证明材料（如有）</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5.项目组成人员表；</w:t>
      </w:r>
      <w:r/>
    </w:p>
    <w:p>
      <w:pPr>
        <w:ind w:firstLine="48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.技术商务条款响应正负偏离表（格式参见第六章）</w:t>
      </w:r>
      <w:r>
        <w:rPr>
          <w:rFonts w:hint="eastAsia" w:ascii="宋体" w:hAnsi="宋体" w:cs="宋体"/>
          <w:szCs w:val="21"/>
          <w:highlight w:val="none"/>
          <w:lang w:eastAsia="zh-CN"/>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供应商认为需要提交的其他资料。</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三、商务技术文件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1.评审办法中所涉及的事项需提供的所有资料；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szCs w:val="21"/>
          <w:highlight w:val="none"/>
        </w:rPr>
      </w:pPr>
      <w:r>
        <w:rPr>
          <w:rFonts w:hint="eastAsia" w:ascii="宋体" w:hAnsi="宋体" w:cs="宋体"/>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四、报价响应文件</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1.磋商响应报价表（开标一览表）；</w:t>
      </w:r>
      <w:r/>
    </w:p>
    <w:p>
      <w:pPr>
        <w:ind w:firstLine="422"/>
        <w:pageBreakBefore w:val="0"/>
        <w:spacing w:before="100" w:after="100"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szCs w:val="21"/>
          <w:highlight w:val="none"/>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szCs w:val="21"/>
          <w:highlight w:val="none"/>
        </w:rPr>
      </w:r>
      <w:r/>
    </w:p>
    <w:p>
      <w:pPr>
        <w:pageBreakBefore w:val="0"/>
        <w:spacing w:before="100" w:after="100" w:line="360" w:lineRule="auto"/>
        <w:rPr>
          <w:rFonts w:hint="eastAsia" w:ascii="宋体" w:hAnsi="宋体" w:cs="宋体"/>
          <w:b/>
          <w:szCs w:val="21"/>
          <w:highlight w:val="none"/>
        </w:rPr>
      </w:pPr>
      <w:r>
        <w:rPr>
          <w:rFonts w:hint="eastAsia" w:ascii="宋体" w:hAnsi="宋体" w:cs="宋体"/>
          <w:b/>
          <w:szCs w:val="21"/>
          <w:highlight w:val="none"/>
        </w:rPr>
        <w:t xml:space="preserve">封面</w:t>
      </w:r>
      <w:r/>
    </w:p>
    <w:p>
      <w:pPr>
        <w:jc w:val="center"/>
        <w:pageBreakBefore w:val="0"/>
        <w:spacing w:line="360" w:lineRule="auto"/>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 xml:space="preserve">泰州市网络安全监管服务2025</w:t>
      </w:r>
      <w:r/>
    </w:p>
    <w:p>
      <w:pPr>
        <w:pStyle w:val="921"/>
        <w:ind w:firstLine="643"/>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21"/>
        <w:ind w:firstLine="643"/>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38"/>
        <w:pageBreakBefore w:val="0"/>
        <w:spacing w:line="360" w:lineRule="auto"/>
        <w:rPr>
          <w:highlight w:val="none"/>
        </w:rPr>
      </w:pPr>
      <w:r>
        <w:rPr>
          <w:highlight w:val="none"/>
        </w:rPr>
      </w:r>
      <w:r/>
    </w:p>
    <w:p>
      <w:pPr>
        <w:pStyle w:val="913"/>
        <w:jc w:val="center"/>
        <w:pageBreakBefore w:val="0"/>
        <w:spacing w:line="360" w:lineRule="auto"/>
        <w:rPr>
          <w:rFonts w:ascii="Microsoft New Tai Lue" w:hAnsi="Microsoft New Tai Lue" w:cs="Microsoft New Tai Lue"/>
          <w:b/>
          <w:sz w:val="84"/>
          <w:szCs w:val="84"/>
          <w:highlight w:val="none"/>
        </w:rPr>
      </w:pPr>
      <w:r/>
      <w:bookmarkStart w:id="118" w:name="_Toc100905255"/>
      <w:r>
        <w:rPr>
          <w:rFonts w:hint="eastAsia" w:ascii="Microsoft New Tai Lue" w:hAnsi="Microsoft New Tai Lue" w:cs="Microsoft New Tai Lue"/>
          <w:b/>
          <w:sz w:val="84"/>
          <w:szCs w:val="84"/>
          <w:highlight w:val="none"/>
        </w:rPr>
        <w:t xml:space="preserve">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118"/>
      <w:r/>
      <w:r/>
    </w:p>
    <w:p>
      <w:pPr>
        <w:ind w:right="640"/>
        <w:jc w:val="center"/>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firstLine="2209"/>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p>
    <w:p>
      <w:pPr>
        <w:pStyle w:val="913"/>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13"/>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13"/>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13"/>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13"/>
        <w:jc w:val="center"/>
        <w:pageBreakBefore w:val="0"/>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913"/>
        <w:jc w:val="center"/>
        <w:pageBreakBefore w:val="0"/>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二〇二五</w:t>
      </w:r>
      <w:r>
        <w:rPr>
          <w:rFonts w:ascii="Microsoft New Tai Lue" w:hAnsi="Microsoft New Tai Lue" w:cs="Microsoft New Tai Lue"/>
          <w:b/>
          <w:sz w:val="32"/>
          <w:highlight w:val="none"/>
        </w:rPr>
        <w:t xml:space="preserve">年  月  日</w:t>
      </w:r>
      <w:r/>
    </w:p>
    <w:p>
      <w:pPr>
        <w:pageBreakBefore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109"/>
      <w:r/>
      <w:bookmarkEnd w:id="110"/>
      <w:r/>
      <w:bookmarkEnd w:id="111"/>
      <w:r/>
      <w:bookmarkStart w:id="119" w:name="_Toc456102676"/>
      <w:r/>
      <w:bookmarkStart w:id="120" w:name="_Toc337816640"/>
      <w:r/>
      <w:bookmarkStart w:id="121" w:name="_Toc456102499"/>
      <w:r/>
      <w:bookmarkStart w:id="122" w:name="_Toc456102122"/>
      <w:r/>
      <w:r/>
    </w:p>
    <w:p>
      <w:pPr>
        <w:pageBreakBefore w:val="0"/>
        <w:spacing w:line="360" w:lineRule="auto"/>
        <w:rPr>
          <w:rFonts w:hint="eastAsia" w:ascii="宋体" w:hAnsi="宋体"/>
          <w:b/>
          <w:bCs/>
          <w:szCs w:val="21"/>
          <w:highlight w:val="none"/>
        </w:rPr>
      </w:pPr>
      <w:r>
        <w:rPr>
          <w:rFonts w:hint="eastAsia" w:ascii="宋体" w:hAnsi="宋体"/>
          <w:b/>
          <w:bCs/>
          <w:szCs w:val="21"/>
          <w:highlight w:val="none"/>
        </w:rPr>
        <w:t xml:space="preserve">附件：</w:t>
      </w:r>
      <w:r/>
    </w:p>
    <w:p>
      <w:pPr>
        <w:jc w:val="center"/>
        <w:pageBreakBefore w:val="0"/>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1.法定代表人身份证明</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单位性质：</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经营期限：</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性别：</w:t>
      </w:r>
      <w:r>
        <w:rPr>
          <w:rFonts w:hint="eastAsia" w:ascii="宋体" w:hAnsi="宋体" w:cs="宋体"/>
          <w:szCs w:val="21"/>
          <w:highlight w:val="none"/>
          <w:u w:val="single"/>
        </w:rPr>
        <w:t xml:space="preserve">          </w:t>
      </w:r>
      <w:r>
        <w:rPr>
          <w:rFonts w:hint="eastAsia" w:ascii="宋体" w:hAnsi="宋体" w:cs="宋体"/>
          <w:szCs w:val="21"/>
          <w:highlight w:val="none"/>
        </w:rPr>
        <w:t xml:space="preserve">年龄：</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手机（必填）：</w:t>
      </w:r>
      <w:r>
        <w:rPr>
          <w:rFonts w:hint="eastAsia" w:ascii="宋体" w:hAnsi="宋体" w:cs="宋体"/>
          <w:szCs w:val="21"/>
          <w:highlight w:val="none"/>
          <w:u w:val="single"/>
        </w:rPr>
        <w:t xml:space="preserve">                   </w:t>
      </w:r>
      <w:r>
        <w:rPr>
          <w:rFonts w:hint="eastAsia" w:ascii="宋体" w:hAnsi="宋体" w:cs="宋体"/>
          <w:szCs w:val="21"/>
          <w:highlight w:val="none"/>
        </w:rPr>
        <w:t xml:space="preserve">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 xml:space="preserve">的法定代表人。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特此证明</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磋商响应人（盖法人章）：</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法定代表人（单位负责人）有效期内的身份证复印件（正反面）</w:t>
      </w:r>
      <w:r/>
    </w:p>
    <w:tbl>
      <w:tblPr>
        <w:tblStyle w:val="90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8"/>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sz w:val="20"/>
                <w:highlight w:val="none"/>
              </w:rPr>
            </w:pPr>
            <w:r>
              <w:rPr>
                <w:sz w:val="20"/>
                <w:highlight w:val="none"/>
              </w:rPr>
            </w:r>
            <w:r/>
          </w:p>
        </w:tc>
        <w:tc>
          <w:tcPr>
            <w:tcW w:w="4677"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906"/>
        <w:pageBreakBefore w:val="0"/>
        <w:spacing w:line="360" w:lineRule="auto"/>
        <w:rPr>
          <w:highlight w:val="none"/>
        </w:rPr>
      </w:pPr>
      <w:r>
        <w:rPr>
          <w:highlight w:val="none"/>
        </w:rPr>
      </w:r>
      <w:r/>
    </w:p>
    <w:p>
      <w:pPr>
        <w:pStyle w:val="901"/>
        <w:ind w:firstLine="422"/>
        <w:pageBreakBefore w:val="0"/>
        <w:spacing w:before="0" w:after="0" w:line="360" w:lineRule="auto"/>
        <w:rPr>
          <w:rFonts w:hint="eastAsia" w:ascii="宋体" w:hAnsi="宋体" w:eastAsia="宋体"/>
          <w:sz w:val="21"/>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901"/>
        <w:ind w:firstLine="422"/>
        <w:pageBreakBefore w:val="0"/>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2.法定代表人授权书</w:t>
      </w:r>
      <w:r/>
    </w:p>
    <w:p>
      <w:pPr>
        <w:pStyle w:val="939"/>
        <w:ind w:firstLine="422"/>
        <w:jc w:val="center"/>
        <w:pageBreakBefore w:val="0"/>
        <w:spacing w:line="360" w:lineRule="auto"/>
        <w:rPr>
          <w:rFonts w:hint="eastAsia" w:ascii="宋体" w:hAnsi="宋体"/>
          <w:b/>
          <w:sz w:val="21"/>
          <w:szCs w:val="21"/>
          <w:highlight w:val="none"/>
        </w:rPr>
      </w:pPr>
      <w:r>
        <w:rPr>
          <w:rFonts w:hint="eastAsia" w:ascii="宋体" w:hAnsi="宋体"/>
          <w:b/>
          <w:sz w:val="21"/>
          <w:szCs w:val="21"/>
          <w:highlight w:val="none"/>
        </w:rPr>
      </w:r>
      <w:r/>
    </w:p>
    <w:p>
      <w:pPr>
        <w:pStyle w:val="939"/>
        <w:ind w:left="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 xml:space="preserve">授权</w:t>
      </w:r>
      <w:r>
        <w:rPr>
          <w:rFonts w:hint="eastAsia" w:ascii="宋体" w:hAnsi="宋体"/>
          <w:sz w:val="21"/>
          <w:szCs w:val="21"/>
          <w:highlight w:val="none"/>
          <w:u w:val="single"/>
        </w:rPr>
        <w:t xml:space="preserve">              </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hint="eastAsia"/>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代理人无转委托权，特此委托。</w:t>
      </w:r>
      <w:r/>
    </w:p>
    <w:p>
      <w:pPr>
        <w:pStyle w:val="939"/>
        <w:ind w:firstLine="420"/>
        <w:pageBreakBefore w:val="0"/>
        <w:spacing w:line="360" w:lineRule="auto"/>
        <w:rPr>
          <w:sz w:val="21"/>
          <w:szCs w:val="21"/>
          <w:highlight w:val="none"/>
        </w:rPr>
      </w:pPr>
      <w:r>
        <w:rPr>
          <w:rFonts w:hint="eastAsia"/>
          <w:sz w:val="21"/>
          <w:szCs w:val="21"/>
          <w:highlight w:val="none"/>
        </w:rPr>
        <w:t xml:space="preserve">委托期限：自本授权委托书签署之日起至投标有效期届满之日止。</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法定代表人：（签字或盖章）_______________________</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授权单位名称（盖章）：_________________________________</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地址：_____________________________________</w:t>
      </w:r>
      <w:r/>
    </w:p>
    <w:p>
      <w:pPr>
        <w:pStyle w:val="939"/>
        <w:ind w:firstLine="420"/>
        <w:pageBreakBefore w:val="0"/>
        <w:spacing w:line="360" w:lineRule="auto"/>
        <w:rPr>
          <w:highlight w:val="none"/>
        </w:rPr>
      </w:pPr>
      <w:r>
        <w:rPr>
          <w:rFonts w:hint="eastAsia" w:ascii="宋体" w:hAnsi="宋体"/>
          <w:sz w:val="21"/>
          <w:szCs w:val="21"/>
          <w:highlight w:val="none"/>
        </w:rPr>
        <w:t xml:space="preserve">日期：</w:t>
      </w:r>
      <w:bookmarkStart w:id="123" w:name="_Hlt26671380"/>
      <w:r/>
      <w:bookmarkEnd w:id="123"/>
      <w:r/>
      <w:bookmarkStart w:id="124" w:name="_Hlt26955070"/>
      <w:r/>
      <w:bookmarkEnd w:id="124"/>
      <w:r/>
      <w:bookmarkStart w:id="125" w:name="_格式3__银行出具的资信证明"/>
      <w:r/>
      <w:bookmarkEnd w:id="125"/>
      <w:r>
        <w:rPr>
          <w:rFonts w:hint="eastAsia" w:ascii="宋体" w:hAnsi="宋体"/>
          <w:sz w:val="21"/>
          <w:szCs w:val="21"/>
          <w:highlight w:val="none"/>
        </w:rPr>
        <w:t xml:space="preserve">     年  月  日</w:t>
      </w:r>
      <w:r/>
    </w:p>
    <w:p>
      <w:pPr>
        <w:pageBreakBefore w:val="0"/>
        <w:spacing w:line="360" w:lineRule="auto"/>
        <w:rPr>
          <w:szCs w:val="21"/>
          <w:highlight w:val="none"/>
        </w:rPr>
      </w:pPr>
      <w:r>
        <w:rPr>
          <w:szCs w:val="21"/>
          <w:highlight w:val="none"/>
        </w:rPr>
      </w:r>
      <w:r/>
    </w:p>
    <w:p>
      <w:pPr>
        <w:pageBreakBefore w:val="0"/>
        <w:spacing w:line="360" w:lineRule="auto"/>
        <w:rPr>
          <w:rFonts w:ascii="Microsoft New Tai Lue" w:hAnsi="Microsoft New Tai Lue" w:cs="Microsoft New Tai Lue"/>
          <w:highlight w:val="none"/>
        </w:rPr>
      </w:pPr>
      <w:r>
        <w:rPr>
          <w:rFonts w:hint="eastAsia"/>
          <w:szCs w:val="21"/>
          <w:highlight w:val="none"/>
        </w:rPr>
        <w:t xml:space="preserve">附：</w:t>
      </w: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90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8"/>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sz w:val="20"/>
                <w:highlight w:val="none"/>
              </w:rPr>
            </w:pPr>
            <w:r>
              <w:rPr>
                <w:sz w:val="20"/>
                <w:highlight w:val="none"/>
              </w:rPr>
            </w:r>
            <w:r/>
          </w:p>
        </w:tc>
        <w:tc>
          <w:tcPr>
            <w:tcW w:w="4695"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918"/>
        <w:pageBreakBefore w:val="0"/>
        <w:spacing w:line="360" w:lineRule="auto"/>
        <w:rPr>
          <w:rFonts w:ascii="Times New Roman" w:hAnsi="Times New Roman"/>
          <w:b/>
          <w:bCs/>
          <w:szCs w:val="21"/>
          <w:highlight w:val="none"/>
        </w:rPr>
      </w:pPr>
      <w:r>
        <w:rPr>
          <w:rFonts w:ascii="Times New Roman" w:hAnsi="Times New Roman"/>
          <w:b/>
          <w:bCs/>
          <w:szCs w:val="21"/>
          <w:highlight w:val="none"/>
        </w:rPr>
        <w:t xml:space="preserve">注：</w:t>
      </w:r>
      <w:r/>
    </w:p>
    <w:p>
      <w:pPr>
        <w:pStyle w:val="918"/>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1.若供应商为分公司、分支机构等依法无须设置法定代表人职务的单位（仅当</w:t>
      </w:r>
      <w:r>
        <w:rPr>
          <w:rFonts w:hint="eastAsia" w:ascii="Times New Roman" w:hAnsi="Times New Roman"/>
          <w:b/>
          <w:bCs/>
          <w:szCs w:val="21"/>
          <w:highlight w:val="none"/>
          <w:lang w:eastAsia="zh-CN"/>
        </w:rPr>
        <w:t xml:space="preserve">采购文件</w:t>
      </w:r>
      <w:r>
        <w:rPr>
          <w:rFonts w:hint="eastAsia" w:ascii="Times New Roman" w:hAnsi="Times New Roman"/>
          <w:b/>
          <w:bCs/>
          <w:szCs w:val="21"/>
          <w:highlight w:val="none"/>
        </w:rPr>
        <w:t xml:space="preserve">注明允许上述单位投标时），法定代表人签字处可由单位负责人签署。</w:t>
      </w:r>
      <w:r/>
    </w:p>
    <w:p>
      <w:pPr>
        <w:pStyle w:val="918"/>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2.若响应文件中签字之处均为法定代表人（单位负责人）本人签署，则可不提供本《授权委托书》，但须提供《法定代表人（单位负责人）身份证明》。</w:t>
      </w:r>
      <w:r/>
    </w:p>
    <w:p>
      <w:pPr>
        <w:pStyle w:val="906"/>
        <w:pageBreakBefore w:val="0"/>
        <w:spacing w:line="360" w:lineRule="auto"/>
        <w:rPr>
          <w:highlight w:val="none"/>
        </w:rPr>
      </w:pPr>
      <w:r>
        <w:rPr>
          <w:highlight w:val="none"/>
        </w:rPr>
      </w:r>
      <w:r/>
    </w:p>
    <w:p>
      <w:pPr>
        <w:pStyle w:val="901"/>
        <w:jc w:val="both"/>
        <w:pageBreakBefore w:val="0"/>
        <w:spacing w:line="360" w:lineRule="auto"/>
        <w:rPr>
          <w:rFonts w:hint="eastAsia"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spacing w:line="360" w:lineRule="auto"/>
        <w:rPr>
          <w:rFonts w:ascii="宋体" w:hAnsi="宋体" w:cs="宋体"/>
          <w:b/>
          <w:bCs/>
          <w:szCs w:val="21"/>
        </w:rPr>
      </w:pPr>
      <w:r>
        <w:rPr>
          <w:rFonts w:hint="eastAsia" w:ascii="宋体" w:hAnsi="宋体" w:eastAsia="宋体"/>
          <w:sz w:val="21"/>
          <w:szCs w:val="21"/>
          <w:highlight w:val="none"/>
        </w:rPr>
        <w:t xml:space="preserve">3.</w:t>
      </w:r>
      <w:r>
        <w:rPr>
          <w:rFonts w:hint="eastAsia" w:ascii="宋体" w:hAnsi="宋体" w:cs="宋体"/>
          <w:b/>
          <w:bCs/>
          <w:szCs w:val="21"/>
        </w:rPr>
        <w:t xml:space="preserve">联合体协议书(格式)</w:t>
      </w:r>
      <w:r/>
    </w:p>
    <w:p>
      <w:pPr>
        <w:jc w:val="center"/>
        <w:spacing w:line="360" w:lineRule="auto"/>
        <w:rPr>
          <w:rFonts w:ascii="宋体" w:hAnsi="宋体" w:cs="宋体"/>
          <w:b/>
          <w:bCs/>
          <w:szCs w:val="21"/>
        </w:rPr>
      </w:pPr>
      <w:r>
        <w:rPr>
          <w:rFonts w:hint="eastAsia" w:ascii="宋体" w:hAnsi="宋体" w:cs="宋体"/>
          <w:b/>
          <w:bCs/>
          <w:szCs w:val="21"/>
        </w:rPr>
        <w:t xml:space="preserve">联合体协议书</w:t>
      </w:r>
      <w:r/>
    </w:p>
    <w:p>
      <w:pPr>
        <w:jc w:val="cente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（所有成员单位名称）自愿组成</w:t>
      </w:r>
      <w:r>
        <w:rPr>
          <w:rFonts w:hint="eastAsia" w:ascii="宋体" w:hAnsi="宋体" w:cs="宋体"/>
          <w:szCs w:val="21"/>
          <w:u w:val="single"/>
        </w:rPr>
        <w:t xml:space="preserve">（联合体名称）</w:t>
      </w:r>
      <w:r>
        <w:rPr>
          <w:rFonts w:hint="eastAsia" w:ascii="宋体" w:hAnsi="宋体" w:cs="宋体"/>
          <w:szCs w:val="21"/>
        </w:rPr>
        <w:t xml:space="preserve">联合体，共同参加（项目编号、项目名称）。现就联合体投标事宜订立如下协议。</w:t>
      </w:r>
      <w:r/>
    </w:p>
    <w:p>
      <w:pPr>
        <w:ind w:firstLine="420"/>
        <w:spacing w:line="360" w:lineRule="auto"/>
        <w:rPr>
          <w:rFonts w:ascii="宋体" w:hAnsi="宋体" w:cs="宋体"/>
          <w:szCs w:val="21"/>
        </w:rPr>
      </w:pPr>
      <w:r>
        <w:rPr>
          <w:rFonts w:hint="eastAsia" w:ascii="宋体" w:hAnsi="宋体" w:cs="宋体"/>
          <w:szCs w:val="21"/>
        </w:rPr>
        <w:t xml:space="preserve">1、（某成员单位名称）为</w:t>
      </w:r>
      <w:r>
        <w:rPr>
          <w:rFonts w:hint="eastAsia" w:ascii="宋体" w:hAnsi="宋体" w:cs="宋体"/>
          <w:szCs w:val="21"/>
          <w:u w:val="single"/>
        </w:rPr>
        <w:t xml:space="preserve">（联合体名称）</w:t>
      </w:r>
      <w:r>
        <w:rPr>
          <w:rFonts w:hint="eastAsia" w:ascii="宋体" w:hAnsi="宋体" w:cs="宋体"/>
          <w:szCs w:val="21"/>
        </w:rPr>
        <w:t xml:space="preserve">牵头人。</w:t>
      </w:r>
      <w:r/>
    </w:p>
    <w:p>
      <w:pPr>
        <w:ind w:firstLine="420"/>
        <w:spacing w:line="360" w:lineRule="auto"/>
        <w:rPr>
          <w:rFonts w:ascii="宋体" w:hAnsi="宋体" w:cs="宋体"/>
          <w:szCs w:val="21"/>
        </w:rPr>
      </w:pPr>
      <w:r>
        <w:rPr>
          <w:rFonts w:hint="eastAsia" w:ascii="宋体" w:hAnsi="宋体" w:cs="宋体"/>
          <w:szCs w:val="21"/>
        </w:rPr>
        <w:t xml:space="preserve">2、联合体牵头人合法代表联合体各成员负责本项目投标文件编制和合同谈判活动，并代表联合体提交和接收相关的资料、信息及指示，并处理与之有关的一切事务，负责项目实施阶段的主办、组织和协调工作。</w:t>
      </w:r>
      <w:r/>
    </w:p>
    <w:p>
      <w:pPr>
        <w:ind w:firstLine="420"/>
        <w:spacing w:line="360" w:lineRule="auto"/>
        <w:rPr>
          <w:rFonts w:ascii="宋体" w:hAnsi="宋体" w:cs="宋体"/>
          <w:szCs w:val="21"/>
        </w:rPr>
      </w:pPr>
      <w:r>
        <w:rPr>
          <w:rFonts w:hint="eastAsia" w:ascii="宋体" w:hAnsi="宋体" w:cs="宋体"/>
          <w:szCs w:val="21"/>
        </w:rPr>
        <w:t xml:space="preserve">3、联合体将严格按照招标文件的各项要求，递交响应文件，履行合同，并对外承担连带责任。</w:t>
      </w:r>
      <w:r/>
    </w:p>
    <w:p>
      <w:pPr>
        <w:ind w:firstLine="420"/>
        <w:spacing w:line="360" w:lineRule="auto"/>
        <w:rPr>
          <w:rFonts w:ascii="宋体" w:hAnsi="宋体" w:cs="宋体"/>
          <w:szCs w:val="21"/>
        </w:rPr>
      </w:pPr>
      <w:r>
        <w:rPr>
          <w:rFonts w:hint="eastAsia" w:ascii="宋体" w:hAnsi="宋体" w:cs="宋体"/>
          <w:szCs w:val="21"/>
        </w:rPr>
        <w:t xml:space="preserve">4、联合体各成员单位内部的职责分工如下： 。</w:t>
      </w:r>
      <w:r/>
    </w:p>
    <w:p>
      <w:pPr>
        <w:ind w:firstLine="420"/>
        <w:spacing w:line="360" w:lineRule="auto"/>
        <w:rPr>
          <w:rFonts w:ascii="宋体" w:hAnsi="宋体" w:cs="宋体"/>
          <w:szCs w:val="21"/>
        </w:rPr>
      </w:pPr>
      <w:r>
        <w:rPr>
          <w:rFonts w:hint="eastAsia" w:ascii="宋体" w:hAnsi="宋体" w:cs="宋体"/>
          <w:szCs w:val="21"/>
        </w:rPr>
        <w:t xml:space="preserve">5、本协议书自签署之日起生效，合同履行完毕后自动失效。 </w:t>
      </w:r>
      <w:r/>
    </w:p>
    <w:p>
      <w:pPr>
        <w:ind w:firstLine="420"/>
        <w:spacing w:line="360" w:lineRule="auto"/>
        <w:rPr>
          <w:rFonts w:ascii="宋体" w:hAnsi="宋体" w:cs="宋体"/>
          <w:szCs w:val="21"/>
        </w:rPr>
      </w:pPr>
      <w:r>
        <w:rPr>
          <w:rFonts w:hint="eastAsia" w:ascii="宋体" w:hAnsi="宋体" w:cs="宋体"/>
          <w:szCs w:val="21"/>
        </w:rPr>
        <w:t xml:space="preserve">6、本协议书一式份，联合体成员和采购人各执一份。</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注：本协议书由委托代理人签字的，应附法定代表人签字的授权委托书。</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牵头人名称：（盖单位章）</w:t>
      </w:r>
      <w:r/>
    </w:p>
    <w:p>
      <w:pPr>
        <w:ind w:firstLine="420"/>
        <w:spacing w:line="360" w:lineRule="auto"/>
        <w:rPr>
          <w:rFonts w:ascii="宋体" w:hAnsi="宋体" w:cs="宋体"/>
          <w:szCs w:val="21"/>
        </w:rPr>
      </w:pPr>
      <w:r>
        <w:rPr>
          <w:rFonts w:hint="eastAsia" w:ascii="宋体" w:hAnsi="宋体" w:cs="宋体"/>
          <w:szCs w:val="21"/>
        </w:rPr>
        <w:t xml:space="preserve">法定代表人或其委托代理人：（签字或盖章）</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成员单位名称：（盖单位章）</w:t>
      </w:r>
      <w:r/>
    </w:p>
    <w:p>
      <w:pPr>
        <w:ind w:firstLine="420"/>
        <w:spacing w:line="360" w:lineRule="auto"/>
        <w:rPr>
          <w:rFonts w:ascii="宋体" w:hAnsi="宋体" w:cs="宋体"/>
          <w:szCs w:val="21"/>
        </w:rPr>
      </w:pPr>
      <w:r>
        <w:rPr>
          <w:rFonts w:hint="eastAsia" w:ascii="宋体" w:hAnsi="宋体" w:cs="宋体"/>
          <w:szCs w:val="21"/>
        </w:rPr>
        <w:t xml:space="preserve">法定代表人或其委托代理人：（签字或盖章）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2879"/>
        <w:spacing w:line="360" w:lineRule="auto"/>
        <w:rPr>
          <w:rFonts w:ascii="宋体" w:hAnsi="宋体" w:cs="宋体"/>
          <w:szCs w:val="21"/>
        </w:rPr>
      </w:pPr>
      <w:r>
        <w:rPr>
          <w:rFonts w:hint="eastAsia" w:ascii="宋体" w:hAnsi="宋体" w:cs="宋体"/>
          <w:szCs w:val="21"/>
        </w:rPr>
        <w:t xml:space="preserve">年月日</w:t>
      </w:r>
      <w:r/>
    </w:p>
    <w:p>
      <w:pPr>
        <w:ind w:firstLine="2879"/>
        <w:spacing w:line="360" w:lineRule="auto"/>
        <w:rPr>
          <w:rFonts w:ascii="宋体" w:hAnsi="宋体" w:cs="宋体"/>
          <w:szCs w:val="21"/>
        </w:rPr>
      </w:pPr>
      <w:r>
        <w:rPr>
          <w:rFonts w:ascii="宋体" w:hAnsi="宋体" w:cs="宋体"/>
          <w:szCs w:val="21"/>
        </w:rPr>
      </w:r>
      <w:r/>
    </w:p>
    <w:p>
      <w:pPr>
        <w:pStyle w:val="901"/>
        <w:pageBreakBefore w:val="0"/>
        <w:spacing w:line="360" w:lineRule="auto"/>
        <w:rPr>
          <w:rFonts w:hint="eastAsia" w:ascii="宋体" w:hAnsi="宋体" w:eastAsia="宋体"/>
          <w:sz w:val="21"/>
          <w:szCs w:val="21"/>
          <w:highlight w:val="none"/>
          <w:lang w:val="en-US" w:eastAsia="zh-CN"/>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lang w:val="en-US" w:eastAsia="zh-CN"/>
        </w:rPr>
      </w:r>
      <w:r/>
    </w:p>
    <w:p>
      <w:pPr>
        <w:pStyle w:val="901"/>
        <w:pageBreakBefore w:val="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供应商资格声明书 </w:t>
      </w:r>
      <w:r/>
    </w:p>
    <w:p>
      <w:pPr>
        <w:pageBreakBefore w:val="0"/>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w:t>
      </w:r>
      <w:r/>
    </w:p>
    <w:p>
      <w:pPr>
        <w:ind w:firstLine="420"/>
        <w:pageBreakBefore w:val="0"/>
        <w:spacing w:line="360" w:lineRule="auto"/>
        <w:rPr>
          <w:szCs w:val="21"/>
          <w:highlight w:val="none"/>
        </w:rPr>
      </w:pPr>
      <w:r>
        <w:rPr>
          <w:rFonts w:hint="eastAsia"/>
          <w:szCs w:val="21"/>
          <w:highlight w:val="none"/>
        </w:rPr>
        <w:t xml:space="preserve">在参与本次项目响应中，我单位承诺：</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具有良好的商业信誉和健全的财务会计制度；</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具有履行合同所必需的设备和专业技术能力；</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具有依法缴纳税收和社会保障资金的良好记录；</w:t>
      </w:r>
      <w:r/>
    </w:p>
    <w:p>
      <w:pPr>
        <w:numPr>
          <w:ilvl w:val="0"/>
          <w:numId w:val="5"/>
        </w:numPr>
        <w:ind w:left="1134"/>
        <w:jc w:val="left"/>
        <w:pageBreakBefore w:val="0"/>
        <w:spacing w:line="360" w:lineRule="auto"/>
        <w:rPr>
          <w:szCs w:val="21"/>
          <w:highlight w:val="none"/>
        </w:rPr>
      </w:pPr>
      <w:r>
        <w:rPr>
          <w:rFonts w:hint="eastAsia"/>
          <w:szCs w:val="21"/>
          <w:highlight w:val="none"/>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pageBreakBefore w:val="0"/>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pageBreakBefore w:val="0"/>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bl>
    <w:p>
      <w:pPr>
        <w:pageBreakBefore w:val="0"/>
        <w:spacing w:line="360" w:lineRule="auto"/>
        <w:rPr>
          <w:szCs w:val="21"/>
          <w:highlight w:val="none"/>
        </w:rPr>
      </w:pPr>
      <w:r>
        <w:rPr>
          <w:szCs w:val="21"/>
          <w:highlight w:val="none"/>
        </w:rPr>
      </w:r>
      <w:r/>
    </w:p>
    <w:p>
      <w:pPr>
        <w:ind w:firstLine="420"/>
        <w:pageBreakBefore w:val="0"/>
        <w:spacing w:line="360" w:lineRule="auto"/>
        <w:rPr>
          <w:szCs w:val="21"/>
          <w:highlight w:val="none"/>
        </w:rPr>
      </w:pPr>
      <w:r>
        <w:rPr>
          <w:rFonts w:hint="eastAsia"/>
          <w:szCs w:val="21"/>
          <w:highlight w:val="none"/>
        </w:rPr>
        <w:t xml:space="preserve">上述声明真实有效，否则我方负全部责任。</w:t>
      </w:r>
      <w:r/>
    </w:p>
    <w:p>
      <w:pPr>
        <w:pageBreakBefore w:val="0"/>
        <w:spacing w:line="360" w:lineRule="auto"/>
        <w:rPr>
          <w:szCs w:val="21"/>
          <w:highlight w:val="none"/>
        </w:rPr>
      </w:pPr>
      <w:r>
        <w:rPr>
          <w:szCs w:val="21"/>
          <w:highlight w:val="none"/>
        </w:rPr>
      </w:r>
      <w:r/>
    </w:p>
    <w:p>
      <w:pPr>
        <w:jc w:val="right"/>
        <w:pageBreakBefore w:val="0"/>
        <w:spacing w:before="25" w:after="25" w:line="360" w:lineRule="auto"/>
        <w:rPr>
          <w:szCs w:val="21"/>
          <w:highlight w:val="none"/>
        </w:rPr>
      </w:pPr>
      <w:r>
        <w:rPr>
          <w:rFonts w:hint="eastAsia"/>
          <w:szCs w:val="21"/>
          <w:highlight w:val="none"/>
        </w:rPr>
        <w:t xml:space="preserve">供应商名称（加盖公章）：</w:t>
      </w:r>
      <w:r>
        <w:rPr>
          <w:rFonts w:hint="eastAsia"/>
          <w:szCs w:val="21"/>
          <w:highlight w:val="none"/>
          <w:u w:val="single"/>
        </w:rPr>
        <w:t xml:space="preserve">            </w:t>
      </w:r>
      <w:r>
        <w:rPr>
          <w:rFonts w:hint="eastAsia"/>
          <w:szCs w:val="21"/>
          <w:highlight w:val="none"/>
        </w:rPr>
        <w:t xml:space="preserve"> </w:t>
      </w:r>
      <w:r/>
    </w:p>
    <w:p>
      <w:pPr>
        <w:ind w:right="360" w:firstLine="480"/>
        <w:jc w:val="right"/>
        <w:pageBreakBefore w:val="0"/>
        <w:spacing w:line="360" w:lineRule="auto"/>
        <w:rPr>
          <w:szCs w:val="21"/>
          <w:highlight w:val="none"/>
        </w:rPr>
      </w:pPr>
      <w:r>
        <w:rPr>
          <w:rFonts w:hint="eastAsia"/>
          <w:szCs w:val="21"/>
          <w:highlight w:val="none"/>
        </w:rPr>
        <w:t xml:space="preserve">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jc w:val="right"/>
        <w:pageBreakBefore w:val="0"/>
        <w:spacing w:before="25" w:after="25" w:line="360" w:lineRule="auto"/>
        <w:rPr>
          <w:szCs w:val="21"/>
          <w:highlight w:val="none"/>
        </w:rPr>
      </w:pPr>
      <w:r>
        <w:rPr>
          <w:szCs w:val="21"/>
          <w:highlight w:val="none"/>
        </w:rPr>
      </w:r>
      <w:r/>
    </w:p>
    <w:p>
      <w:pPr>
        <w:pageBreakBefore w:val="0"/>
        <w:spacing w:line="360" w:lineRule="auto"/>
        <w:rPr>
          <w:szCs w:val="21"/>
          <w:highlight w:val="none"/>
        </w:rPr>
      </w:pPr>
      <w:r>
        <w:rPr>
          <w:szCs w:val="21"/>
          <w:highlight w:val="none"/>
        </w:rPr>
      </w:r>
      <w:r/>
    </w:p>
    <w:p>
      <w:pPr>
        <w:pageBreakBefore w:val="0"/>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szCs w:val="21"/>
          <w:highlight w:val="none"/>
        </w:rPr>
      </w:pPr>
      <w:r>
        <w:rPr>
          <w:rFonts w:hint="eastAsia" w:ascii="宋体" w:hAnsi="宋体"/>
          <w:bCs/>
          <w:szCs w:val="21"/>
          <w:highlight w:val="none"/>
        </w:rPr>
      </w:r>
      <w:r/>
    </w:p>
    <w:p>
      <w:pPr>
        <w:jc w:val="center"/>
        <w:pageBreakBefore w:val="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jc w:val="center"/>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ageBreakBefore w:val="0"/>
        <w:spacing w:line="360" w:lineRule="auto"/>
        <w:rPr>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jc w:val="center"/>
        <w:pageBreakBefore w:val="0"/>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诚信承诺书</w:t>
      </w:r>
      <w:r/>
    </w:p>
    <w:p>
      <w:pPr>
        <w:pageBreakBefore w:val="0"/>
        <w:spacing w:line="360" w:lineRule="auto"/>
        <w:rPr>
          <w:rFonts w:hint="eastAsia"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 xml:space="preserve">的磋商活动中，郑重承诺如下：</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2.我单位参与本项目投标绝无借资质、挂靠行为。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3.本项目授权代表为本单位正式员工。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szCs w:val="21"/>
          <w:highlight w:val="none"/>
          <w:lang w:val="en-GB"/>
        </w:rPr>
      </w:pPr>
      <w:r>
        <w:rPr>
          <w:rFonts w:hint="eastAsia" w:ascii="宋体" w:hAnsi="宋体" w:cs="宋体"/>
          <w:szCs w:val="21"/>
          <w:highlight w:val="none"/>
        </w:rPr>
        <w:t xml:space="preserve">5.</w:t>
      </w:r>
      <w:r>
        <w:rPr>
          <w:rFonts w:hint="eastAsia" w:ascii="宋体" w:hAnsi="宋体" w:cs="宋体"/>
          <w:szCs w:val="21"/>
          <w:highlight w:val="none"/>
          <w:lang w:val="en-GB"/>
        </w:rPr>
        <w:t xml:space="preserve">我单位</w:t>
      </w:r>
      <w:r>
        <w:rPr>
          <w:rFonts w:hint="eastAsia" w:ascii="宋体" w:hAnsi="宋体" w:cs="宋体"/>
          <w:szCs w:val="21"/>
          <w:highlight w:val="none"/>
        </w:rPr>
        <w:t xml:space="preserve">参与本项目</w:t>
      </w:r>
      <w:r>
        <w:rPr>
          <w:rFonts w:hint="eastAsia" w:ascii="宋体" w:hAnsi="宋体" w:cs="宋体"/>
          <w:szCs w:val="21"/>
          <w:highlight w:val="none"/>
          <w:lang w:val="en-GB"/>
        </w:rPr>
        <w:t xml:space="preserve">投标</w:t>
      </w:r>
      <w:r>
        <w:rPr>
          <w:rFonts w:hint="eastAsia" w:ascii="宋体" w:hAnsi="宋体" w:cs="宋体"/>
          <w:szCs w:val="21"/>
          <w:highlight w:val="none"/>
        </w:rPr>
        <w:t xml:space="preserve">绝无</w:t>
      </w:r>
      <w:r>
        <w:rPr>
          <w:rFonts w:hint="eastAsia" w:ascii="宋体" w:hAnsi="宋体" w:cs="宋体"/>
          <w:szCs w:val="21"/>
          <w:highlight w:val="none"/>
          <w:lang w:val="en-GB"/>
        </w:rPr>
        <w:t xml:space="preserve">串标、围标等行为。</w:t>
      </w:r>
      <w:r/>
    </w:p>
    <w:p>
      <w:pPr>
        <w:ind w:firstLine="480"/>
        <w:pageBreakBefore w:val="0"/>
        <w:spacing w:line="360" w:lineRule="auto"/>
        <w:rPr>
          <w:rFonts w:hint="eastAsia" w:ascii="宋体" w:hAnsi="宋体" w:cs="宋体"/>
          <w:szCs w:val="21"/>
          <w:highlight w:val="none"/>
          <w:lang w:val="en-GB"/>
        </w:rPr>
      </w:pPr>
      <w:r>
        <w:rPr>
          <w:rFonts w:hint="eastAsia" w:ascii="宋体" w:hAnsi="宋体" w:cs="宋体"/>
          <w:szCs w:val="21"/>
          <w:highlight w:val="none"/>
        </w:rPr>
        <w:t xml:space="preserve">6.</w:t>
      </w:r>
      <w:r>
        <w:rPr>
          <w:rFonts w:hint="eastAsia" w:ascii="宋体" w:hAnsi="宋体" w:cs="宋体"/>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7.如中标，我单位</w:t>
      </w:r>
      <w:r>
        <w:rPr>
          <w:rFonts w:hint="eastAsia" w:ascii="宋体" w:hAnsi="宋体" w:cs="宋体"/>
          <w:szCs w:val="21"/>
          <w:highlight w:val="none"/>
          <w:lang w:val="en-GB"/>
        </w:rPr>
        <w:t xml:space="preserve">在</w:t>
      </w:r>
      <w:r>
        <w:rPr>
          <w:rFonts w:hint="eastAsia" w:ascii="宋体" w:hAnsi="宋体" w:cs="宋体"/>
          <w:szCs w:val="21"/>
          <w:highlight w:val="none"/>
        </w:rPr>
        <w:t xml:space="preserve">成交结果</w:t>
      </w:r>
      <w:r>
        <w:rPr>
          <w:rFonts w:hint="eastAsia" w:ascii="宋体" w:hAnsi="宋体" w:cs="宋体"/>
          <w:szCs w:val="21"/>
          <w:highlight w:val="none"/>
          <w:lang w:val="en-GB"/>
        </w:rPr>
        <w:t xml:space="preserve">公示结束后</w:t>
      </w:r>
      <w:r>
        <w:rPr>
          <w:rFonts w:hint="eastAsia" w:ascii="宋体" w:hAnsi="宋体" w:cs="宋体"/>
          <w:szCs w:val="21"/>
          <w:highlight w:val="none"/>
        </w:rPr>
        <w:t xml:space="preserve">3天内领取中标通知书。</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8.中标后，我单位将按照采购文件规定并在成交通知书规定的时限内与采购单位签订合同。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9.如中标，我单位将按照采购文件规定以及响应文件中承诺的相关事项向采购人提供完整相关证明材料或配合采购人做好相关工作。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供应商（盖公章）：</w:t>
      </w:r>
      <w:r>
        <w:rPr>
          <w:rFonts w:hint="eastAsia" w:ascii="宋体" w:hAnsi="宋体" w:cs="宋体"/>
          <w:bCs/>
          <w:szCs w:val="21"/>
          <w:highlight w:val="none"/>
          <w:u w:val="single"/>
        </w:rPr>
        <w:t xml:space="preserve">                              </w:t>
      </w:r>
      <w:r/>
    </w:p>
    <w:p>
      <w:pPr>
        <w:ind w:firstLine="48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u w:val="single"/>
        </w:rPr>
        <w:t xml:space="preserve">                      </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left="2833" w:right="560" w:firstLine="2777"/>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5.中小企业声明函（工程、服务）</w:t>
      </w:r>
      <w:r/>
    </w:p>
    <w:p>
      <w:pPr>
        <w:ind w:firstLine="480"/>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t xml:space="preserve">本公司（联合体）郑重声明，根据《政府采购促进中小企业发展管理办法》（财库﹝2020﹞46 号）的规定，本公司（联合体）参加</w:t>
      </w:r>
      <w:r>
        <w:rPr>
          <w:rFonts w:hint="eastAsia" w:ascii="宋体" w:hAnsi="宋体" w:eastAsia="宋体" w:cs="宋体"/>
          <w:szCs w:val="21"/>
          <w:highlight w:val="none"/>
          <w:u w:val="single"/>
          <w:lang w:val="en-GB"/>
        </w:rPr>
        <w:t xml:space="preserve">（单位名称）</w:t>
      </w:r>
      <w:r>
        <w:rPr>
          <w:rFonts w:hint="eastAsia" w:ascii="宋体" w:hAnsi="宋体" w:eastAsia="宋体" w:cs="宋体"/>
          <w:szCs w:val="21"/>
          <w:highlight w:val="none"/>
          <w:lang w:val="en-GB"/>
        </w:rPr>
        <w:t xml:space="preserve">的</w:t>
      </w:r>
      <w:r>
        <w:rPr>
          <w:rFonts w:hint="eastAsia" w:ascii="宋体" w:hAnsi="宋体" w:eastAsia="宋体" w:cs="宋体"/>
          <w:szCs w:val="21"/>
          <w:highlight w:val="none"/>
          <w:u w:val="single"/>
          <w:lang w:val="en-GB"/>
        </w:rPr>
        <w:t xml:space="preserve">（项目名称）</w:t>
      </w:r>
      <w:r>
        <w:rPr>
          <w:rFonts w:hint="eastAsia" w:ascii="宋体" w:hAnsi="宋体" w:eastAsia="宋体" w:cs="宋体"/>
          <w:szCs w:val="21"/>
          <w:highlight w:val="none"/>
          <w:lang w:val="en-GB"/>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t xml:space="preserve">1.</w:t>
      </w:r>
      <w:r>
        <w:rPr>
          <w:rFonts w:hint="eastAsia" w:ascii="宋体" w:hAnsi="宋体" w:eastAsia="宋体" w:cs="宋体"/>
          <w:szCs w:val="21"/>
          <w:highlight w:val="none"/>
          <w:u w:val="single"/>
          <w:lang w:val="en-GB"/>
        </w:rPr>
        <w:t xml:space="preserve"> （标的名称）</w:t>
      </w:r>
      <w:r>
        <w:rPr>
          <w:rFonts w:hint="eastAsia" w:ascii="宋体" w:hAnsi="宋体" w:eastAsia="宋体" w:cs="宋体"/>
          <w:szCs w:val="21"/>
          <w:highlight w:val="none"/>
          <w:lang w:val="en-GB"/>
        </w:rPr>
        <w:t xml:space="preserve">，属于</w:t>
      </w:r>
      <w:r>
        <w:rPr>
          <w:rFonts w:hint="eastAsia" w:ascii="宋体" w:hAnsi="宋体" w:eastAsia="宋体" w:cs="宋体"/>
          <w:szCs w:val="21"/>
          <w:highlight w:val="none"/>
          <w:u w:val="single"/>
          <w:lang w:val="en-GB"/>
        </w:rPr>
        <w:t xml:space="preserve">（采购文件中明确的所属行业）</w:t>
      </w:r>
      <w:r>
        <w:rPr>
          <w:rFonts w:hint="eastAsia" w:ascii="宋体" w:hAnsi="宋体" w:eastAsia="宋体" w:cs="宋体"/>
          <w:szCs w:val="21"/>
          <w:highlight w:val="none"/>
          <w:lang w:val="en-GB"/>
        </w:rPr>
        <w:t xml:space="preserve">；承建（承接）企业为</w:t>
      </w:r>
      <w:r>
        <w:rPr>
          <w:rFonts w:hint="eastAsia" w:ascii="宋体" w:hAnsi="宋体" w:eastAsia="宋体" w:cs="宋体"/>
          <w:szCs w:val="21"/>
          <w:highlight w:val="none"/>
          <w:u w:val="single"/>
          <w:lang w:val="en-GB"/>
        </w:rPr>
        <w:t xml:space="preserve">  （企业名称）</w:t>
      </w:r>
      <w:r>
        <w:rPr>
          <w:rFonts w:hint="eastAsia" w:ascii="宋体" w:hAnsi="宋体" w:eastAsia="宋体" w:cs="宋体"/>
          <w:szCs w:val="21"/>
          <w:highlight w:val="none"/>
          <w:lang w:val="en-GB"/>
        </w:rPr>
        <w:t xml:space="preserve">，从业人员</w:t>
      </w:r>
      <w:r>
        <w:rPr>
          <w:rFonts w:hint="eastAsia" w:ascii="宋体" w:hAnsi="宋体" w:eastAsia="宋体" w:cs="宋体"/>
          <w:szCs w:val="21"/>
          <w:highlight w:val="none"/>
          <w:u w:val="single"/>
          <w:lang w:val="en-GB"/>
        </w:rPr>
        <w:t xml:space="preserve">     </w:t>
      </w:r>
      <w:r>
        <w:rPr>
          <w:rFonts w:hint="eastAsia" w:ascii="宋体" w:hAnsi="宋体" w:eastAsia="宋体" w:cs="宋体"/>
          <w:szCs w:val="21"/>
          <w:highlight w:val="none"/>
          <w:lang w:val="en-GB"/>
        </w:rPr>
        <w:t xml:space="preserve">人，营业收入为</w:t>
      </w:r>
      <w:r>
        <w:rPr>
          <w:rFonts w:hint="eastAsia" w:ascii="宋体" w:hAnsi="宋体" w:eastAsia="宋体" w:cs="宋体"/>
          <w:szCs w:val="21"/>
          <w:highlight w:val="none"/>
          <w:u w:val="single"/>
          <w:lang w:val="en-GB"/>
        </w:rPr>
        <w:t xml:space="preserve">      </w:t>
      </w:r>
      <w:r>
        <w:rPr>
          <w:rFonts w:hint="eastAsia" w:ascii="宋体" w:hAnsi="宋体" w:eastAsia="宋体" w:cs="宋体"/>
          <w:szCs w:val="21"/>
          <w:highlight w:val="none"/>
          <w:lang w:val="en-GB"/>
        </w:rPr>
        <w:t xml:space="preserve">万元，资产总额为</w:t>
      </w:r>
      <w:r>
        <w:rPr>
          <w:rFonts w:hint="eastAsia" w:ascii="宋体" w:hAnsi="宋体" w:eastAsia="宋体" w:cs="宋体"/>
          <w:szCs w:val="21"/>
          <w:highlight w:val="none"/>
          <w:u w:val="single"/>
          <w:lang w:val="en-GB"/>
        </w:rPr>
        <w:t xml:space="preserve">      </w:t>
      </w:r>
      <w:r>
        <w:rPr>
          <w:rFonts w:hint="eastAsia" w:ascii="宋体" w:hAnsi="宋体" w:eastAsia="宋体" w:cs="宋体"/>
          <w:szCs w:val="21"/>
          <w:highlight w:val="none"/>
          <w:lang w:val="en-GB"/>
        </w:rPr>
        <w:t xml:space="preserve">万</w:t>
      </w:r>
      <w:r>
        <w:rPr>
          <w:rFonts w:hint="eastAsia" w:ascii="宋体" w:hAnsi="宋体" w:eastAsia="宋体" w:cs="宋体"/>
          <w:szCs w:val="21"/>
          <w:highlight w:val="none"/>
          <w:lang w:val="en-GB" w:eastAsia="zh-CN"/>
        </w:rPr>
        <w:t xml:space="preserve">元</w:t>
      </w:r>
      <w:r>
        <w:rPr>
          <w:rFonts w:hint="eastAsia" w:ascii="微软雅黑" w:hAnsi="微软雅黑" w:eastAsia="微软雅黑" w:cs="微软雅黑"/>
          <w:szCs w:val="21"/>
          <w:highlight w:val="none"/>
          <w:lang w:val="en-GB" w:eastAsia="zh-CN"/>
        </w:rPr>
        <w:t xml:space="preserve">¹</w:t>
      </w:r>
      <w:r>
        <w:rPr>
          <w:rFonts w:hint="eastAsia" w:ascii="宋体" w:hAnsi="宋体" w:eastAsia="宋体" w:cs="宋体"/>
          <w:szCs w:val="21"/>
          <w:highlight w:val="none"/>
          <w:lang w:val="en-GB" w:eastAsia="zh-CN"/>
        </w:rPr>
        <w:t xml:space="preserve">，</w:t>
      </w:r>
      <w:r>
        <w:rPr>
          <w:rFonts w:hint="eastAsia" w:ascii="宋体" w:hAnsi="宋体" w:eastAsia="宋体" w:cs="宋体"/>
          <w:szCs w:val="21"/>
          <w:highlight w:val="none"/>
          <w:lang w:val="en-GB"/>
        </w:rPr>
        <w:t xml:space="preserve">属于</w:t>
      </w:r>
      <w:r>
        <w:rPr>
          <w:rFonts w:hint="eastAsia" w:ascii="宋体" w:hAnsi="宋体" w:eastAsia="宋体" w:cs="宋体"/>
          <w:szCs w:val="21"/>
          <w:highlight w:val="none"/>
          <w:u w:val="single"/>
          <w:lang w:val="en-GB"/>
        </w:rPr>
        <w:t xml:space="preserve">（中型企业、小型企业、微型企业）</w:t>
      </w:r>
      <w:r>
        <w:rPr>
          <w:rFonts w:hint="eastAsia" w:ascii="宋体" w:hAnsi="宋体" w:eastAsia="宋体" w:cs="宋体"/>
          <w:szCs w:val="21"/>
          <w:highlight w:val="none"/>
          <w:lang w:val="en-GB"/>
        </w:rPr>
        <w:t xml:space="preserve">；</w:t>
      </w:r>
      <w:r/>
    </w:p>
    <w:p>
      <w:pPr>
        <w:ind w:firstLine="480"/>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t xml:space="preserve">2. </w:t>
      </w:r>
      <w:r>
        <w:rPr>
          <w:rFonts w:hint="eastAsia" w:ascii="宋体" w:hAnsi="宋体" w:eastAsia="宋体" w:cs="宋体"/>
          <w:szCs w:val="21"/>
          <w:highlight w:val="none"/>
          <w:u w:val="single"/>
          <w:lang w:val="en-GB"/>
        </w:rPr>
        <w:t xml:space="preserve"> （标的名称）</w:t>
      </w:r>
      <w:r>
        <w:rPr>
          <w:rFonts w:hint="eastAsia" w:ascii="宋体" w:hAnsi="宋体" w:eastAsia="宋体" w:cs="宋体"/>
          <w:szCs w:val="21"/>
          <w:highlight w:val="none"/>
          <w:lang w:val="en-GB"/>
        </w:rPr>
        <w:t xml:space="preserve">，属于</w:t>
      </w:r>
      <w:r>
        <w:rPr>
          <w:rFonts w:hint="eastAsia" w:ascii="宋体" w:hAnsi="宋体" w:eastAsia="宋体" w:cs="宋体"/>
          <w:szCs w:val="21"/>
          <w:highlight w:val="none"/>
          <w:u w:val="single"/>
          <w:lang w:val="en-GB"/>
        </w:rPr>
        <w:t xml:space="preserve">（采购文件中明确的所属行业）</w:t>
      </w:r>
      <w:r>
        <w:rPr>
          <w:rFonts w:hint="eastAsia" w:ascii="宋体" w:hAnsi="宋体" w:eastAsia="宋体" w:cs="宋体"/>
          <w:szCs w:val="21"/>
          <w:highlight w:val="none"/>
          <w:lang w:val="en-GB"/>
        </w:rPr>
        <w:t xml:space="preserve">；承建（承接）企业为</w:t>
      </w:r>
      <w:r>
        <w:rPr>
          <w:rFonts w:hint="eastAsia" w:ascii="宋体" w:hAnsi="宋体" w:eastAsia="宋体" w:cs="宋体"/>
          <w:szCs w:val="21"/>
          <w:highlight w:val="none"/>
          <w:u w:val="single"/>
          <w:lang w:val="en-GB"/>
        </w:rPr>
        <w:t xml:space="preserve">  （企业名称）</w:t>
      </w:r>
      <w:r>
        <w:rPr>
          <w:rFonts w:hint="eastAsia" w:ascii="宋体" w:hAnsi="宋体" w:eastAsia="宋体" w:cs="宋体"/>
          <w:szCs w:val="21"/>
          <w:highlight w:val="none"/>
          <w:lang w:val="en-GB"/>
        </w:rPr>
        <w:t xml:space="preserve">，从业人员</w:t>
      </w:r>
      <w:r>
        <w:rPr>
          <w:rFonts w:hint="eastAsia" w:ascii="宋体" w:hAnsi="宋体" w:eastAsia="宋体" w:cs="宋体"/>
          <w:szCs w:val="21"/>
          <w:highlight w:val="none"/>
          <w:u w:val="single"/>
          <w:lang w:val="en-GB"/>
        </w:rPr>
        <w:t xml:space="preserve">     </w:t>
      </w:r>
      <w:r>
        <w:rPr>
          <w:rFonts w:hint="eastAsia" w:ascii="宋体" w:hAnsi="宋体" w:eastAsia="宋体" w:cs="宋体"/>
          <w:szCs w:val="21"/>
          <w:highlight w:val="none"/>
          <w:lang w:val="en-GB"/>
        </w:rPr>
        <w:t xml:space="preserve">人，营业收入为</w:t>
      </w:r>
      <w:r>
        <w:rPr>
          <w:rFonts w:hint="eastAsia" w:ascii="宋体" w:hAnsi="宋体" w:eastAsia="宋体" w:cs="宋体"/>
          <w:szCs w:val="21"/>
          <w:highlight w:val="none"/>
          <w:u w:val="single"/>
          <w:lang w:val="en-GB"/>
        </w:rPr>
        <w:t xml:space="preserve">      </w:t>
      </w:r>
      <w:r>
        <w:rPr>
          <w:rFonts w:hint="eastAsia" w:ascii="宋体" w:hAnsi="宋体" w:eastAsia="宋体" w:cs="宋体"/>
          <w:szCs w:val="21"/>
          <w:highlight w:val="none"/>
          <w:lang w:val="en-GB"/>
        </w:rPr>
        <w:t xml:space="preserve">万元，资产总额为</w:t>
      </w:r>
      <w:r>
        <w:rPr>
          <w:rFonts w:hint="eastAsia" w:ascii="宋体" w:hAnsi="宋体" w:eastAsia="宋体" w:cs="宋体"/>
          <w:szCs w:val="21"/>
          <w:highlight w:val="none"/>
          <w:u w:val="single"/>
          <w:lang w:val="en-GB"/>
        </w:rPr>
        <w:t xml:space="preserve">      </w:t>
      </w:r>
      <w:r>
        <w:rPr>
          <w:rFonts w:hint="eastAsia" w:ascii="宋体" w:hAnsi="宋体" w:eastAsia="宋体" w:cs="宋体"/>
          <w:szCs w:val="21"/>
          <w:highlight w:val="none"/>
          <w:lang w:val="en-GB"/>
        </w:rPr>
        <w:t xml:space="preserve">万</w:t>
      </w:r>
      <w:r>
        <w:rPr>
          <w:rFonts w:hint="eastAsia" w:ascii="宋体" w:hAnsi="宋体" w:eastAsia="宋体" w:cs="宋体"/>
          <w:szCs w:val="21"/>
          <w:highlight w:val="none"/>
          <w:lang w:val="en-GB" w:eastAsia="zh-CN"/>
        </w:rPr>
        <w:t xml:space="preserve">元，</w:t>
      </w:r>
      <w:r>
        <w:rPr>
          <w:rFonts w:hint="eastAsia" w:ascii="宋体" w:hAnsi="宋体" w:eastAsia="宋体" w:cs="宋体"/>
          <w:szCs w:val="21"/>
          <w:highlight w:val="none"/>
          <w:lang w:val="en-GB"/>
        </w:rPr>
        <w:t xml:space="preserve">属于</w:t>
      </w:r>
      <w:r>
        <w:rPr>
          <w:rFonts w:hint="eastAsia" w:ascii="宋体" w:hAnsi="宋体" w:eastAsia="宋体" w:cs="宋体"/>
          <w:szCs w:val="21"/>
          <w:highlight w:val="none"/>
          <w:u w:val="single"/>
          <w:lang w:val="en-GB"/>
        </w:rPr>
        <w:t xml:space="preserve">（中型企业、小型企业、微型企业）</w:t>
      </w:r>
      <w:r>
        <w:rPr>
          <w:rFonts w:hint="eastAsia" w:ascii="宋体" w:hAnsi="宋体" w:eastAsia="宋体" w:cs="宋体"/>
          <w:szCs w:val="21"/>
          <w:highlight w:val="none"/>
          <w:lang w:val="en-GB"/>
        </w:rPr>
        <w:t xml:space="preserve">；</w:t>
      </w:r>
      <w:r/>
    </w:p>
    <w:p>
      <w:pPr>
        <w:ind w:firstLine="480"/>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r>
      <w:r/>
    </w:p>
    <w:p>
      <w:pPr>
        <w:ind w:firstLine="480"/>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t xml:space="preserve">……</w:t>
      </w:r>
      <w:r/>
    </w:p>
    <w:p>
      <w:pPr>
        <w:ind w:firstLine="480"/>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t xml:space="preserve">以上企业，不属于大企业的分支机构，不存在控股股东为大企业的情形，也不存在与大企业的负责人为同一人的情形。</w:t>
      </w:r>
      <w:r/>
    </w:p>
    <w:p>
      <w:pPr>
        <w:ind w:firstLine="480"/>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t xml:space="preserve">本企业对上述声明内容的真实性负责。如有虚假，将依法承担相应责任。</w:t>
      </w:r>
      <w:r/>
    </w:p>
    <w:p>
      <w:pPr>
        <w:ind w:firstLine="5514"/>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r>
      <w:r/>
    </w:p>
    <w:p>
      <w:pPr>
        <w:ind w:firstLine="5514"/>
        <w:pageBreakBefore w:val="0"/>
        <w:spacing w:line="360" w:lineRule="auto"/>
        <w:rPr>
          <w:rFonts w:hint="eastAsia" w:ascii="宋体" w:hAnsi="宋体" w:eastAsia="宋体" w:cs="宋体"/>
          <w:szCs w:val="21"/>
          <w:highlight w:val="none"/>
          <w:lang w:val="en-GB"/>
        </w:rPr>
      </w:pPr>
      <w:r>
        <w:rPr>
          <w:rFonts w:hint="eastAsia" w:ascii="宋体" w:hAnsi="宋体" w:eastAsia="宋体" w:cs="宋体"/>
          <w:szCs w:val="21"/>
          <w:highlight w:val="none"/>
          <w:lang w:val="en-GB"/>
        </w:rPr>
        <w:t xml:space="preserve">企业名称（盖章）：</w:t>
      </w:r>
      <w:r/>
    </w:p>
    <w:p>
      <w:pPr>
        <w:ind w:firstLine="6144"/>
        <w:pageBreakBefore w:val="0"/>
        <w:spacing w:line="360" w:lineRule="auto"/>
        <w:rPr>
          <w:rFonts w:hint="eastAsia" w:ascii="宋体" w:hAnsi="宋体" w:eastAsia="宋体" w:cs="宋体"/>
          <w:szCs w:val="21"/>
          <w:highlight w:val="none"/>
          <w:lang w:val="en-GB"/>
        </w:rPr>
      </w:pPr>
      <w:r/>
      <w:bookmarkStart w:id="126" w:name="bookmark2"/>
      <w:r/>
      <w:bookmarkEnd w:id="126"/>
      <w:r>
        <w:rPr>
          <w:rFonts w:hint="eastAsia" w:ascii="宋体" w:hAnsi="宋体" w:eastAsia="宋体" w:cs="宋体"/>
          <w:szCs w:val="21"/>
          <w:highlight w:val="none"/>
          <w:lang w:val="en-GB"/>
        </w:rPr>
        <w:t xml:space="preserve">日期：</w:t>
      </w:r>
      <w:r/>
    </w:p>
    <w:p>
      <w:pPr>
        <w:jc w:val="cente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wp:posOffset>
                </wp:positionH>
                <wp:positionV relativeFrom="paragraph">
                  <wp:posOffset>151765</wp:posOffset>
                </wp:positionV>
                <wp:extent cx="1828800" cy="0"/>
                <wp:effectExtent l="4445" t="4445" r="5080" b="5080"/>
                <wp:wrapNone/>
                <wp:docPr id="6" name="任意多边形 5"/>
                <wp:cNvGraphicFramePr/>
                <a:graphic xmlns:a="http://schemas.openxmlformats.org/drawingml/2006/main">
                  <a:graphicData uri="http://schemas.microsoft.com/office/word/2010/wordprocessingShape">
                    <wps:wsp>
                      <wps:cNvPr id="0" name=""/>
                      <wps:cNvSpPr/>
                      <wps:spPr bwMode="auto">
                        <a:xfrm>
                          <a:off x="0" y="0"/>
                          <a:ext cx="1828800" cy="0"/>
                        </a:xfrm>
                        <a:custGeom>
                          <a:avLst/>
                          <a:gdLst/>
                          <a:ahLst/>
                          <a:cxnLst/>
                          <a:rect l="0" t="0" r="r" b="b"/>
                          <a:pathLst>
                            <a:path w="2880" fill="norm" stroke="1" extrusionOk="0">
                              <a:moveTo>
                                <a:pt x="0" y="0"/>
                              </a:moveTo>
                              <a:lnTo>
                                <a:pt x="2880" y="0"/>
                              </a:lnTo>
                            </a:path>
                          </a:pathLst>
                        </a:custGeom>
                        <a:noFill/>
                        <a:ln w="0" cap="sq"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0.7pt;mso-position-horizontal:absolute;mso-position-vertical-relative:text;margin-top:11.9pt;mso-position-vertical:absolute;width:144.0pt;height:0.0pt;mso-wrap-distance-left:9.0pt;mso-wrap-distance-top:0.0pt;mso-wrap-distance-right:9.0pt;mso-wrap-distance-bottom:0.0pt;visibility:visible;" path="m0,0l100000,0e" coordsize="100000,100000" filled="f" strokecolor="#000000" strokeweight="0.00pt">
                <v:path textboxrect="0,0,0,0"/>
                <v:stroke dashstyle="solid"/>
              </v:shape>
            </w:pict>
          </mc:Fallback>
        </mc:AlternateContent>
      </w:r>
      <w:r/>
    </w:p>
    <w:p>
      <w:pPr>
        <w:jc w:val="both"/>
        <w:pageBreakBefore w:val="0"/>
        <w:spacing w:line="360" w:lineRule="auto"/>
        <w:rPr>
          <w:rFonts w:hint="eastAsia" w:ascii="宋体" w:hAnsi="宋体" w:cs="宋体"/>
          <w:b/>
          <w:bCs/>
          <w:szCs w:val="21"/>
          <w:highlight w:val="none"/>
        </w:rPr>
      </w:pPr>
      <w:r>
        <w:rPr>
          <w:rFonts w:hint="eastAsia" w:ascii="微软雅黑" w:hAnsi="微软雅黑" w:eastAsia="微软雅黑" w:cs="微软雅黑"/>
          <w:szCs w:val="21"/>
          <w:highlight w:val="none"/>
          <w:lang w:val="en-GB" w:eastAsia="zh-CN"/>
        </w:rPr>
        <w:t xml:space="preserve">¹</w:t>
      </w:r>
      <w:r>
        <w:rPr>
          <w:rFonts w:hint="eastAsia" w:ascii="宋体" w:hAnsi="宋体" w:cs="宋体"/>
          <w:b/>
          <w:bCs/>
          <w:szCs w:val="21"/>
          <w:highlight w:val="none"/>
        </w:rPr>
        <w:t xml:space="preserve">从业人员、</w:t>
      </w:r>
      <w:r>
        <w:rPr>
          <w:rFonts w:hint="eastAsia" w:ascii="宋体" w:hAnsi="宋体" w:cs="宋体"/>
          <w:b/>
          <w:bCs/>
          <w:szCs w:val="21"/>
          <w:highlight w:val="none"/>
          <w:lang w:val="en-US" w:eastAsia="zh-CN"/>
        </w:rPr>
        <w:t xml:space="preserve">营业收入、资产总额填报上一年度数据，无上一年度数据的新成立企业可不填报。</w:t>
      </w:r>
      <w:r/>
    </w:p>
    <w:p>
      <w:pPr>
        <w:jc w:val="center"/>
        <w:pageBreakBefore w:val="0"/>
        <w:spacing w:line="360" w:lineRule="auto"/>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6.残疾人福利性单位声明函（如有）</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firstLine="480"/>
        <w:jc w:val="center"/>
        <w:pageBreakBefore w:val="0"/>
        <w:spacing w:line="360" w:lineRule="auto"/>
        <w:tabs>
          <w:tab w:val="left" w:pos="4860" w:leader="none"/>
        </w:tabs>
        <w:rPr>
          <w:rFonts w:hint="eastAsia" w:ascii="宋体" w:hAnsi="宋体" w:cs="宋体"/>
          <w:szCs w:val="21"/>
          <w:highlight w:val="none"/>
        </w:rPr>
      </w:pPr>
      <w:r>
        <w:rPr>
          <w:rFonts w:hint="eastAsia" w:ascii="宋体" w:hAnsi="宋体" w:cs="宋体"/>
          <w:szCs w:val="21"/>
          <w:highlight w:val="none"/>
        </w:rPr>
        <w:t xml:space="preserve">                              日  期：</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7.监狱企业证明函（如有）</w:t>
      </w:r>
      <w:r/>
    </w:p>
    <w:p>
      <w:pPr>
        <w:jc w:val="center"/>
        <w:pageBreakBefore w:val="0"/>
        <w:spacing w:line="360" w:lineRule="auto"/>
        <w:rPr>
          <w:rFonts w:hint="eastAsia" w:ascii="宋体" w:hAnsi="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8.磋商响应函</w:t>
      </w:r>
      <w:r/>
    </w:p>
    <w:p>
      <w:pPr>
        <w:pStyle w:val="932"/>
        <w:ind w:firstLine="420"/>
        <w:pageBreakBefore w:val="0"/>
        <w:spacing w:line="360" w:lineRule="auto"/>
        <w:rPr>
          <w:rFonts w:hint="eastAsia" w:ascii="宋体" w:hAnsi="宋体"/>
          <w:b/>
          <w:bCs/>
          <w:sz w:val="21"/>
          <w:szCs w:val="21"/>
          <w:highlight w:val="none"/>
        </w:rPr>
      </w:pPr>
      <w:r>
        <w:rPr>
          <w:rFonts w:hint="eastAsia" w:ascii="宋体" w:hAnsi="宋体"/>
          <w:sz w:val="21"/>
          <w:szCs w:val="21"/>
          <w:highlight w:val="none"/>
        </w:rPr>
        <w:t xml:space="preserve">致：</w:t>
      </w:r>
      <w:r>
        <w:rPr>
          <w:rFonts w:hint="eastAsia" w:ascii="宋体" w:hAnsi="宋体"/>
          <w:b/>
          <w:bCs/>
          <w:sz w:val="21"/>
          <w:szCs w:val="21"/>
          <w:highlight w:val="none"/>
          <w:u w:val="single"/>
        </w:rPr>
        <w:t xml:space="preserve">      （采购人名称）   </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 xml:space="preserve">（姓名和职务）代表我方</w:t>
      </w:r>
      <w:r>
        <w:rPr>
          <w:rFonts w:hint="eastAsia" w:ascii="宋体" w:hAnsi="宋体"/>
          <w:sz w:val="21"/>
          <w:szCs w:val="21"/>
          <w:highlight w:val="none"/>
          <w:u w:val="single"/>
        </w:rPr>
        <w:t xml:space="preserve">                   </w:t>
      </w:r>
      <w:r>
        <w:rPr>
          <w:rFonts w:hint="eastAsia" w:ascii="宋体" w:hAnsi="宋体"/>
          <w:sz w:val="21"/>
          <w:szCs w:val="21"/>
          <w:highlight w:val="none"/>
        </w:rPr>
        <w:t xml:space="preserve">（供应商的名称），全权处理</w:t>
      </w:r>
      <w:r>
        <w:rPr>
          <w:rFonts w:hint="eastAsia" w:ascii="宋体" w:hAnsi="宋体"/>
          <w:sz w:val="21"/>
          <w:szCs w:val="21"/>
          <w:highlight w:val="none"/>
          <w:u w:val="single"/>
        </w:rPr>
        <w:t xml:space="preserve">              </w:t>
      </w:r>
      <w:r>
        <w:rPr>
          <w:rFonts w:hint="eastAsia" w:ascii="宋体" w:hAnsi="宋体"/>
          <w:sz w:val="21"/>
          <w:szCs w:val="21"/>
          <w:highlight w:val="none"/>
        </w:rPr>
        <w:t xml:space="preserve">磋商采购的有关事宜。</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据此函，</w:t>
      </w:r>
      <w:r>
        <w:rPr>
          <w:rFonts w:hint="eastAsia" w:ascii="宋体" w:hAnsi="宋体"/>
          <w:sz w:val="21"/>
          <w:szCs w:val="21"/>
          <w:highlight w:val="none"/>
          <w:u w:val="single"/>
        </w:rPr>
        <w:t xml:space="preserve">         </w:t>
      </w:r>
      <w:r>
        <w:rPr>
          <w:rFonts w:hint="eastAsia" w:ascii="宋体" w:hAnsi="宋体"/>
          <w:sz w:val="21"/>
          <w:szCs w:val="21"/>
          <w:highlight w:val="none"/>
        </w:rPr>
        <w:t xml:space="preserve">（签字人）兹宣布同意如下：</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1.按照磋商文件规定的各项要求，向采购人提供所需服务。</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3.我们同意从规定的响应文件接收截止时间起遵循本响应文件，并在规定的磋商有效期届满之前均具有约束力。</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6.一旦我方成交，我方将根据磋商文件的规定，严格履行合同的责任和义务，并保证在磋商文件规定的时间完成项目，交付采购人验收、使用。</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7.遵守磋商文件中要求的收费项目和标准。</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8.与本磋商采购有关的正式通讯地址为：</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地 址：                         邮 编：</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电 话：                         传 真：</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供应商开户行：                  账 户： </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法定代表人或授权代表姓名（签字）：     联系电话：</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供应商名称（公章）：            </w:t>
      </w:r>
      <w:r/>
    </w:p>
    <w:p>
      <w:pPr>
        <w:pStyle w:val="93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日 期：</w:t>
      </w:r>
      <w:r>
        <w:rPr>
          <w:rFonts w:hint="eastAsia" w:ascii="宋体" w:hAnsi="宋体"/>
          <w:sz w:val="21"/>
          <w:szCs w:val="21"/>
          <w:highlight w:val="none"/>
          <w:u w:val="single"/>
        </w:rPr>
        <w:t xml:space="preserve">      </w:t>
      </w:r>
      <w:r>
        <w:rPr>
          <w:rFonts w:hint="eastAsia" w:ascii="宋体" w:hAnsi="宋体"/>
          <w:sz w:val="21"/>
          <w:szCs w:val="21"/>
          <w:highlight w:val="none"/>
        </w:rPr>
        <w:t xml:space="preserve">年</w:t>
      </w:r>
      <w:r>
        <w:rPr>
          <w:rFonts w:hint="eastAsia" w:ascii="宋体" w:hAnsi="宋体"/>
          <w:sz w:val="21"/>
          <w:szCs w:val="21"/>
          <w:highlight w:val="none"/>
          <w:u w:val="single"/>
        </w:rPr>
        <w:t xml:space="preserve">   </w:t>
      </w:r>
      <w:r>
        <w:rPr>
          <w:rFonts w:hint="eastAsia" w:ascii="宋体" w:hAnsi="宋体"/>
          <w:sz w:val="21"/>
          <w:szCs w:val="21"/>
          <w:highlight w:val="none"/>
        </w:rPr>
        <w:t xml:space="preserve">月</w:t>
      </w:r>
      <w:r>
        <w:rPr>
          <w:rFonts w:hint="eastAsia" w:ascii="宋体" w:hAnsi="宋体"/>
          <w:sz w:val="21"/>
          <w:szCs w:val="21"/>
          <w:highlight w:val="none"/>
          <w:u w:val="single"/>
        </w:rPr>
        <w:t xml:space="preserve">   </w:t>
      </w:r>
      <w:r>
        <w:rPr>
          <w:rFonts w:hint="eastAsia" w:ascii="宋体" w:hAnsi="宋体"/>
          <w:sz w:val="21"/>
          <w:szCs w:val="21"/>
          <w:highlight w:val="none"/>
        </w:rPr>
        <w:t xml:space="preserve">日</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r>
      <w:r/>
    </w:p>
    <w:p>
      <w:pPr>
        <w:ind w:firstLine="420"/>
        <w:jc w:val="left"/>
        <w:pageBreakBefore w:val="0"/>
        <w:spacing w:line="360" w:lineRule="auto"/>
        <w:rPr>
          <w:rFonts w:hint="eastAsia" w:ascii="宋体" w:hAnsi="宋体"/>
          <w:szCs w:val="21"/>
          <w:highlight w:val="none"/>
        </w:rPr>
      </w:pPr>
      <w:r>
        <w:rPr>
          <w:rFonts w:hint="eastAsia" w:ascii="宋体" w:hAnsi="宋体"/>
          <w:szCs w:val="21"/>
          <w:highlight w:val="none"/>
        </w:rPr>
      </w:r>
      <w:r/>
    </w:p>
    <w:p>
      <w:pPr>
        <w:ind w:firstLine="420"/>
        <w:jc w:val="left"/>
        <w:pageBreakBefore w:val="0"/>
        <w:spacing w:line="360" w:lineRule="auto"/>
        <w:rPr>
          <w:rFonts w:hint="eastAsia" w:ascii="宋体" w:hAnsi="宋体"/>
          <w:szCs w:val="21"/>
          <w:highlight w:val="none"/>
        </w:rPr>
      </w:pPr>
      <w:r>
        <w:rPr>
          <w:rFonts w:ascii="宋体" w:hAnsi="宋体"/>
          <w:szCs w:val="21"/>
          <w:highlight w:val="none"/>
        </w:rPr>
        <w:br w:type="page" w:clear="all"/>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9.技术条款响应及偏离表</w:t>
      </w:r>
      <w:r/>
    </w:p>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（由响应人据实提交，表格不够自行添加）</w:t>
      </w:r>
      <w:r/>
    </w:p>
    <w:tbl>
      <w:tblPr>
        <w:tblStyle w:val="90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2.“偏离说明”一栏选择“正偏离”、“负偏离”进行填写。正偏离的确认和负偏离的是否响应磋商文件，经三分之二评委认定。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3.响应人如有虚假响应，将承担被暂停参加采购人组织政府采购活动的风险。</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67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供应商名称（盖章）：</w:t>
      </w:r>
      <w:r/>
    </w:p>
    <w:p>
      <w:pPr>
        <w:ind w:firstLine="467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法人或授权委托人（签字或盖章）：</w:t>
      </w:r>
      <w:r/>
    </w:p>
    <w:p>
      <w:pPr>
        <w:ind w:firstLine="483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contextualSpacing/>
        <w:ind w:firstLine="42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pageBreakBefore w:val="0"/>
        <w:spacing w:line="360" w:lineRule="auto"/>
        <w:rPr>
          <w:rFonts w:hint="eastAsia" w:ascii="宋体" w:hAnsi="宋体" w:cs="宋体"/>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21"/>
          <w:highlight w:val="none"/>
        </w:rPr>
      </w:r>
      <w:r/>
    </w:p>
    <w:p>
      <w:pPr>
        <w:pStyle w:val="940"/>
        <w:ind w:left="0" w:firstLine="0"/>
        <w:jc w:val="center"/>
        <w:pageBreakBefore w:val="0"/>
        <w:spacing w:line="360" w:lineRule="auto"/>
        <w:rPr>
          <w:rFonts w:hint="eastAsia" w:ascii="宋体" w:hAnsi="宋体" w:cs="宋体"/>
          <w:sz w:val="21"/>
          <w:szCs w:val="21"/>
          <w:highlight w:val="none"/>
        </w:rPr>
      </w:pPr>
      <w:r/>
      <w:bookmarkStart w:id="127" w:name="_Toc15683"/>
      <w:r/>
      <w:bookmarkStart w:id="128" w:name="_Toc20755"/>
      <w:r>
        <w:rPr>
          <w:rFonts w:hint="eastAsia" w:ascii="宋体" w:hAnsi="宋体" w:cs="宋体"/>
          <w:sz w:val="21"/>
          <w:szCs w:val="21"/>
          <w:highlight w:val="none"/>
        </w:rPr>
        <w:t xml:space="preserve">10.商务条款响应及偏离表</w:t>
      </w:r>
      <w:bookmarkEnd w:id="127"/>
      <w:r/>
      <w:bookmarkEnd w:id="128"/>
      <w:r/>
      <w:r/>
    </w:p>
    <w:tbl>
      <w:tblPr>
        <w:tblStyle w:val="90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szCs w:val="21"/>
                <w:highlight w:val="none"/>
              </w:rPr>
            </w:pPr>
            <w:r>
              <w:rPr>
                <w:rFonts w:hint="eastAsia"/>
                <w:szCs w:val="21"/>
                <w:highlight w:val="none"/>
              </w:rPr>
              <w:t xml:space="preserve">磋商文件</w:t>
            </w:r>
            <w:r>
              <w:rPr>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bl>
    <w:p>
      <w:pPr>
        <w:pStyle w:val="906"/>
        <w:ind w:firstLine="4200"/>
        <w:pageBreakBefore w:val="0"/>
        <w:spacing w:line="360" w:lineRule="auto"/>
        <w:rPr>
          <w:szCs w:val="21"/>
          <w:highlight w:val="none"/>
        </w:rPr>
      </w:pPr>
      <w:r>
        <w:rPr>
          <w:rFonts w:hint="eastAsia"/>
          <w:szCs w:val="21"/>
          <w:highlight w:val="none"/>
        </w:rPr>
        <w:t xml:space="preserve">投标人名称（公章）：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r/>
    </w:p>
    <w:p>
      <w:pPr>
        <w:pStyle w:val="906"/>
        <w:pageBreakBefore w:val="0"/>
        <w:spacing w:line="360" w:lineRule="auto"/>
        <w:rPr>
          <w:szCs w:val="21"/>
          <w:highlight w:val="none"/>
        </w:rPr>
      </w:pPr>
      <w:r>
        <w:rPr>
          <w:szCs w:val="21"/>
          <w:highlight w:val="none"/>
        </w:rPr>
      </w:r>
      <w:r/>
    </w:p>
    <w:p>
      <w:pPr>
        <w:ind w:hanging="315"/>
        <w:pageBreakBefore w:val="0"/>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r/>
    </w:p>
    <w:p>
      <w:pPr>
        <w:pageBreakBefore w:val="0"/>
        <w:spacing w:line="360" w:lineRule="auto"/>
        <w:rPr>
          <w:rFonts w:hint="eastAsia" w:ascii="宋体" w:hAnsi="宋体" w:cs="宋体"/>
          <w:b/>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24"/>
          <w:highlight w:val="none"/>
        </w:rPr>
      </w:r>
      <w:bookmarkEnd w:id="119"/>
      <w:bookmarkEnd w:id="120"/>
      <w:bookmarkEnd w:id="121"/>
      <w:bookmarkEnd w:id="122"/>
      <w:r/>
    </w:p>
    <w:p>
      <w:pPr>
        <w:jc w:val="center"/>
        <w:pageBreakBefore w:val="0"/>
        <w:spacing w:line="360" w:lineRule="auto"/>
        <w:rPr>
          <w:rFonts w:hint="eastAsia" w:ascii="宋体" w:hAnsi="宋体"/>
          <w:b/>
          <w:szCs w:val="21"/>
          <w:highlight w:val="none"/>
        </w:rPr>
      </w:pPr>
      <w:r>
        <w:rPr>
          <w:rFonts w:hint="eastAsia" w:ascii="宋体" w:hAnsi="宋体"/>
          <w:b/>
          <w:szCs w:val="21"/>
          <w:highlight w:val="none"/>
        </w:rPr>
        <w:t xml:space="preserve">11.项目组成人员表</w:t>
      </w:r>
      <w:r/>
    </w:p>
    <w:p>
      <w:pPr>
        <w:pageBreakBefore w:val="0"/>
        <w:spacing w:line="360" w:lineRule="auto"/>
        <w:rPr>
          <w:rFonts w:hint="eastAsia" w:ascii="宋体" w:hAnsi="宋体"/>
          <w:szCs w:val="21"/>
          <w:highlight w:val="none"/>
        </w:rPr>
      </w:pPr>
      <w:r>
        <w:rPr>
          <w:rFonts w:hint="eastAsia" w:ascii="宋体" w:hAnsi="宋体"/>
          <w:szCs w:val="21"/>
          <w:highlight w:val="none"/>
        </w:rPr>
      </w:r>
      <w:r/>
    </w:p>
    <w:tbl>
      <w:tblPr>
        <w:tblStyle w:val="905"/>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ageBreakBefore w:val="0"/>
        <w:spacing w:line="360" w:lineRule="auto"/>
        <w:rPr>
          <w:rFonts w:hint="eastAsia" w:ascii="宋体" w:hAnsi="宋体"/>
          <w:szCs w:val="21"/>
          <w:highlight w:val="none"/>
        </w:rPr>
      </w:pPr>
      <w:r>
        <w:rPr>
          <w:rFonts w:hint="eastAsia" w:ascii="宋体" w:hAnsi="宋体"/>
          <w:szCs w:val="21"/>
          <w:highlight w:val="none"/>
        </w:rPr>
      </w:r>
      <w:r/>
    </w:p>
    <w:p>
      <w:pPr>
        <w:pageBreakBefore w:val="0"/>
        <w:spacing w:line="360" w:lineRule="auto"/>
        <w:rPr>
          <w:rFonts w:hint="eastAsia" w:ascii="宋体" w:hAnsi="宋体"/>
          <w:szCs w:val="21"/>
          <w:highlight w:val="none"/>
        </w:rPr>
      </w:pPr>
      <w:r>
        <w:rPr>
          <w:rFonts w:hint="eastAsia" w:ascii="宋体" w:hAnsi="宋体"/>
          <w:szCs w:val="21"/>
          <w:highlight w:val="none"/>
        </w:rPr>
      </w:r>
      <w:r/>
    </w:p>
    <w:p>
      <w:pPr>
        <w:pStyle w:val="941"/>
        <w:ind w:firstLine="420"/>
        <w:pageBreakBefore w:val="0"/>
        <w:spacing w:line="360" w:lineRule="auto"/>
        <w:rPr>
          <w:rFonts w:hint="eastAsia" w:ascii="宋体" w:hAnsi="宋体"/>
          <w:highlight w:val="none"/>
        </w:rPr>
      </w:pPr>
      <w:r>
        <w:rPr>
          <w:rFonts w:hint="eastAsia" w:ascii="宋体" w:hAnsi="宋体"/>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供应商（公章）：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日期：  　年　月　日</w:t>
      </w:r>
      <w:r/>
    </w:p>
    <w:p>
      <w:pPr>
        <w:pStyle w:val="941"/>
        <w:ind w:firstLine="420"/>
        <w:pageBreakBefore w:val="0"/>
        <w:spacing w:line="360" w:lineRule="auto"/>
        <w:rPr>
          <w:rFonts w:hint="eastAsia" w:ascii="宋体" w:hAnsi="宋体"/>
          <w:highlight w:val="none"/>
        </w:rPr>
      </w:pPr>
      <w:r>
        <w:rPr>
          <w:rFonts w:hint="eastAsia" w:ascii="宋体" w:hAnsi="宋体"/>
          <w:highlight w:val="none"/>
        </w:rPr>
      </w:r>
      <w:r/>
    </w:p>
    <w:p>
      <w:pPr>
        <w:jc w:val="center"/>
        <w:pageBreakBefore w:val="0"/>
        <w:spacing w:line="360" w:lineRule="auto"/>
        <w:widowControl/>
        <w:rPr>
          <w:rFonts w:hint="eastAsia"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 xml:space="preserve">12.</w:t>
      </w:r>
      <w:r>
        <w:rPr>
          <w:rFonts w:hint="eastAsia" w:ascii="宋体" w:hAnsi="宋体" w:cs="宋体"/>
          <w:b/>
          <w:bCs/>
          <w:szCs w:val="21"/>
          <w:highlight w:val="none"/>
        </w:rPr>
        <w:t xml:space="preserve">供应商一般情况表</w:t>
      </w:r>
      <w:r/>
    </w:p>
    <w:tbl>
      <w:tblPr>
        <w:tblStyle w:val="9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供应商：（加盖公章）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法定代表人或被授权人：（签字或盖章）</w:t>
      </w:r>
      <w:r/>
    </w:p>
    <w:p>
      <w:pPr>
        <w:ind w:firstLine="132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ind w:firstLine="422"/>
        <w:pageBreakBefore w:val="0"/>
        <w:spacing w:line="360" w:lineRule="auto"/>
        <w:rPr>
          <w:rFonts w:hint="eastAsia" w:ascii="宋体" w:hAnsi="宋体"/>
          <w:b/>
          <w:szCs w:val="21"/>
          <w:highlight w:val="none"/>
          <w:u w:val="single"/>
        </w:rPr>
      </w:pPr>
      <w:r>
        <w:rPr>
          <w:rFonts w:hint="eastAsia" w:ascii="宋体" w:hAnsi="宋体" w:cs="宋体"/>
          <w:b/>
          <w:szCs w:val="21"/>
          <w:highlight w:val="none"/>
        </w:rPr>
        <w:br w:type="page" w:clear="all"/>
      </w:r>
      <w:bookmarkStart w:id="129" w:name="_Toc54372237"/>
      <w:r/>
      <w:bookmarkStart w:id="130" w:name="_Toc54372071"/>
      <w:r/>
      <w:bookmarkStart w:id="131" w:name="_Toc56139088"/>
      <w:r/>
      <w:bookmarkStart w:id="132" w:name="_Toc59896715"/>
      <w:r/>
      <w:bookmarkStart w:id="133" w:name="_Toc56153862"/>
      <w:r/>
      <w:bookmarkStart w:id="134" w:name="_Toc54372655"/>
      <w:r/>
      <w:bookmarkStart w:id="135" w:name="_Toc55639393"/>
      <w:r/>
      <w:bookmarkStart w:id="136" w:name="_Toc439777351"/>
      <w:r/>
      <w:bookmarkStart w:id="137" w:name="_Toc55654540"/>
      <w:r/>
      <w:bookmarkStart w:id="138" w:name="_Toc55707673"/>
      <w:r/>
      <w:bookmarkStart w:id="139" w:name="_Toc56409114"/>
      <w:r/>
      <w:bookmarkStart w:id="140" w:name="_Toc56141898"/>
      <w:r/>
      <w:bookmarkStart w:id="141" w:name="_Toc434481560"/>
      <w:r/>
      <w:bookmarkStart w:id="142" w:name="_Toc59900983"/>
      <w:r/>
      <w:bookmarkStart w:id="143" w:name="_Toc55705168"/>
      <w:r/>
      <w:bookmarkStart w:id="144" w:name="_Toc440442375"/>
      <w:r/>
      <w:bookmarkStart w:id="145" w:name="_Toc439777159"/>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p>
    <w:p>
      <w:pPr>
        <w:jc w:val="left"/>
        <w:pageBreakBefore w:val="0"/>
        <w:spacing w:line="360" w:lineRule="auto"/>
        <w:rPr>
          <w:rFonts w:hint="eastAsia" w:ascii="宋体" w:hAnsi="宋体"/>
          <w:szCs w:val="21"/>
          <w:highlight w:val="none"/>
        </w:rPr>
      </w:pPr>
      <w:r>
        <w:rPr>
          <w:rFonts w:hint="eastAsia" w:ascii="宋体" w:hAnsi="宋体"/>
          <w:szCs w:val="21"/>
          <w:highlight w:val="none"/>
        </w:rPr>
      </w:r>
      <w:r/>
    </w:p>
    <w:p>
      <w:pPr>
        <w:pStyle w:val="901"/>
        <w:ind w:firstLine="422"/>
        <w:pageBreakBefore w:val="0"/>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13.首次响应报价表</w:t>
      </w:r>
      <w:r/>
    </w:p>
    <w:p>
      <w:pPr>
        <w:pStyle w:val="901"/>
        <w:jc w:val="both"/>
        <w:pageBreakBefore w:val="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w:t>
      </w:r>
      <w:r/>
    </w:p>
    <w:tbl>
      <w:tblPr>
        <w:tblStyle w:val="905"/>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eastAsia="宋体" w:cs="宋体"/>
                <w:b/>
                <w:bCs/>
                <w:szCs w:val="21"/>
                <w:highlight w:val="none"/>
                <w:lang w:eastAsia="zh-CN"/>
              </w:rPr>
            </w:pPr>
            <w:r>
              <w:rPr>
                <w:rFonts w:hint="eastAsia" w:ascii="宋体" w:hAnsi="宋体" w:cs="宋体"/>
                <w:bCs/>
                <w:szCs w:val="21"/>
                <w:highlight w:val="none"/>
                <w:lang w:eastAsia="zh-CN"/>
              </w:rPr>
              <w:t xml:space="preserve">泰州市网络安全监管服务2025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6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竞争性磋商响应单位：（加盖公章）</w:t>
      </w:r>
      <w:r/>
    </w:p>
    <w:p>
      <w:pPr>
        <w:ind w:firstLine="441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法定代表人或其授权委托人：</w:t>
      </w:r>
      <w:r>
        <w:rPr>
          <w:rFonts w:hint="eastAsia" w:ascii="宋体" w:hAnsi="宋体" w:cs="宋体"/>
          <w:bCs/>
          <w:spacing w:val="10"/>
          <w:szCs w:val="21"/>
          <w:highlight w:val="none"/>
        </w:rPr>
        <w:t xml:space="preserve">（签字或盖章）</w:t>
      </w:r>
      <w:r/>
    </w:p>
    <w:p>
      <w:pPr>
        <w:pageBreakBefore w:val="0"/>
        <w:spacing w:line="360" w:lineRule="auto"/>
        <w:rPr>
          <w:sz w:val="20"/>
          <w:highlight w:val="none"/>
        </w:rPr>
      </w:pPr>
      <w:r>
        <w:rPr>
          <w:sz w:val="20"/>
          <w:highlight w:val="none"/>
        </w:rPr>
      </w:r>
      <w:r/>
    </w:p>
    <w:p>
      <w:pPr>
        <w:pStyle w:val="942"/>
        <w:ind w:firstLine="5400"/>
        <w:jc w:val="left"/>
        <w:pageBreakBefore w:val="0"/>
        <w:spacing w:line="360" w:lineRule="auto"/>
        <w:rPr>
          <w:rFonts w:ascii="Times New Roman" w:hAnsi="Times New Roman" w:cs="宋体"/>
          <w:b/>
          <w:bCs/>
          <w:szCs w:val="21"/>
          <w:highlight w:val="none"/>
        </w:rPr>
      </w:pPr>
      <w:r>
        <w:rPr>
          <w:rFonts w:hint="eastAsia" w:ascii="Times New Roman" w:hAnsi="Times New Roman" w:cs="宋体"/>
          <w:szCs w:val="21"/>
          <w:highlight w:val="none"/>
        </w:rPr>
        <w:t xml:space="preserve">年  月  日</w:t>
      </w:r>
      <w:r/>
    </w:p>
    <w:p>
      <w:pPr>
        <w:ind w:firstLine="422"/>
        <w:pageBreakBefore w:val="0"/>
        <w:spacing w:line="360" w:lineRule="auto"/>
        <w:rPr>
          <w:rFonts w:hint="eastAsia" w:ascii="宋体" w:hAnsi="宋体"/>
          <w:b/>
          <w:szCs w:val="21"/>
          <w:highlight w:val="none"/>
        </w:rPr>
      </w:pPr>
      <w:r>
        <w:rPr>
          <w:rFonts w:hint="eastAsia" w:ascii="宋体" w:hAnsi="宋体"/>
          <w:b/>
          <w:szCs w:val="21"/>
          <w:highlight w:val="none"/>
        </w:rPr>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注：1.</w:t>
      </w:r>
      <w:r>
        <w:rPr>
          <w:rFonts w:hint="eastAsia" w:ascii="宋体" w:hAnsi="宋体" w:cs="宋体"/>
          <w:szCs w:val="21"/>
          <w:highlight w:val="none"/>
        </w:rPr>
        <w:t xml:space="preserve">磋商报价（以人民币计价）</w:t>
      </w:r>
      <w:r>
        <w:rPr>
          <w:rFonts w:hint="eastAsia" w:ascii="宋体" w:hAnsi="宋体" w:cs="宋体"/>
          <w:bCs/>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rPr>
          <w:rFonts w:hint="eastAsia" w:ascii="宋体" w:hAnsi="宋体" w:cs="宋体"/>
          <w:szCs w:val="21"/>
          <w:highlight w:val="none"/>
        </w:rPr>
        <w:t xml:space="preserve">。</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zh-CN"/>
        </w:rPr>
        <w:br w:type="page" w:clear="all"/>
      </w:r>
      <w:r/>
    </w:p>
    <w:p>
      <w:pPr>
        <w:ind w:firstLine="420"/>
        <w:pageBreakBefore w:val="0"/>
        <w:spacing w:line="360" w:lineRule="auto"/>
        <w:rPr>
          <w:rFonts w:hint="eastAsia" w:ascii="宋体" w:hAnsi="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bookmarkStart w:id="146" w:name="_Toc162859072"/>
      <w:r/>
      <w:bookmarkStart w:id="147" w:name="_Toc162919810"/>
      <w:r/>
      <w:bookmarkEnd w:id="146"/>
      <w:bookmarkEnd w:id="147"/>
      <w:r/>
    </w:p>
    <w:p>
      <w:pPr>
        <w:pageBreakBefore w:val="0"/>
        <w:spacing w:line="360" w:lineRule="auto"/>
        <w:rPr>
          <w:rFonts w:hint="eastAsia" w:ascii="宋体" w:hAnsi="宋体" w:cs="宋体"/>
          <w:b/>
          <w:szCs w:val="21"/>
          <w:highlight w:val="none"/>
        </w:rPr>
      </w:pPr>
      <w:r>
        <w:rPr>
          <w:rFonts w:hint="eastAsia" w:ascii="宋体" w:hAnsi="宋体"/>
          <w:szCs w:val="21"/>
          <w:highlight w:val="none"/>
        </w:rPr>
        <w:t xml:space="preserve">14.技术说明与服务方案</w:t>
      </w:r>
      <w:r/>
    </w:p>
    <w:p>
      <w:pPr>
        <w:pageBreakBefore w:val="0"/>
        <w:spacing w:line="360" w:lineRule="auto"/>
        <w:rPr>
          <w:rFonts w:hint="eastAsia" w:ascii="宋体" w:hAnsi="宋体"/>
          <w:szCs w:val="21"/>
          <w:highlight w:val="none"/>
        </w:rPr>
      </w:pPr>
      <w:r>
        <w:rPr>
          <w:rFonts w:hint="eastAsia" w:ascii="宋体" w:hAnsi="宋体"/>
          <w:szCs w:val="21"/>
          <w:highlight w:val="none"/>
        </w:rPr>
        <w:t xml:space="preserve">15.其他（供应商认为有必要提供的声明和文件，如有自拟并自行添加）</w:t>
      </w:r>
      <w:r/>
    </w:p>
    <w:p>
      <w:pPr>
        <w:pStyle w:val="943"/>
        <w:ind w:firstLine="482"/>
        <w:jc w:val="center"/>
        <w:pageBreakBefore w:val="0"/>
        <w:spacing w:before="0" w:beforeAutospacing="0" w:after="0" w:afterAutospacing="0" w:line="360" w:lineRule="auto"/>
        <w:shd w:val="clear" w:color="auto" w:fill="ffffff"/>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r>
      <w:r/>
    </w:p>
    <w:p>
      <w:pPr>
        <w:pStyle w:val="943"/>
        <w:ind w:firstLine="482"/>
        <w:jc w:val="center"/>
        <w:pageBreakBefore w:val="0"/>
        <w:spacing w:before="0" w:beforeAutospacing="0" w:after="0" w:afterAutospacing="0" w:line="360" w:lineRule="auto"/>
        <w:shd w:val="clear" w:color="auto" w:fill="ffffff"/>
        <w:rPr>
          <w:rFonts w:hint="eastAsia"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各行业划型标准为：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highlight w:val="none"/>
        </w:rPr>
      </w:pPr>
      <w:r>
        <w:rPr>
          <w:highlight w:val="none"/>
        </w:rPr>
      </w:r>
      <w:r/>
    </w:p>
    <w:p>
      <w:pPr>
        <w:pStyle w:val="939"/>
        <w:pageBreakBefore w:val="0"/>
        <w:spacing w:line="360" w:lineRule="auto"/>
        <w:rPr>
          <w:rFonts w:hint="eastAsia" w:ascii="宋体" w:hAnsi="宋体"/>
          <w:bCs/>
          <w:sz w:val="21"/>
          <w:szCs w:val="21"/>
          <w:highlight w:val="none"/>
        </w:rPr>
      </w:pPr>
      <w:r>
        <w:rPr>
          <w:rFonts w:hint="eastAsia" w:ascii="宋体" w:hAnsi="宋体"/>
          <w:bCs/>
          <w:sz w:val="21"/>
          <w:szCs w:val="21"/>
          <w:highlight w:val="none"/>
        </w:rPr>
      </w:r>
      <w:r/>
    </w:p>
    <w:p>
      <w:pPr>
        <w:jc w:val="center"/>
        <w:keepLines/>
        <w:keepNext/>
        <w:pageBreakBefore w:val="0"/>
        <w:spacing w:before="260" w:after="260" w:line="360" w:lineRule="auto"/>
        <w:rPr>
          <w:rFonts w:hint="eastAsia" w:ascii="宋体" w:hAnsi="宋体"/>
          <w:szCs w:val="21"/>
          <w:highlight w:val="none"/>
        </w:rPr>
        <w:outlineLvl w:val="1"/>
      </w:pPr>
      <w:r>
        <w:rPr>
          <w:rFonts w:hint="eastAsia" w:ascii="宋体" w:hAnsi="宋体"/>
          <w:szCs w:val="21"/>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仿宋">
    <w:panose1 w:val="02010609060101010101"/>
  </w:font>
  <w:font w:name="等线 Light">
    <w:panose1 w:val="02010600030101010101"/>
  </w:font>
  <w:font w:name="等线">
    <w:panose1 w:val="02010600030101010101"/>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rPr>
        <w:rStyle w:val="927"/>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1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1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91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1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1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rFonts w:hint="eastAsia"/>
      </w:rPr>
      <w:t xml:space="preserve">第</w:t>
    </w:r>
    <w:r>
      <w:fldChar w:fldCharType="begin"/>
    </w:r>
    <w:r>
      <w:rPr>
        <w:rStyle w:val="927"/>
      </w:rPr>
      <w:instrText xml:space="preserve"> PAGE </w:instrText>
    </w:r>
    <w:r>
      <w:fldChar w:fldCharType="separate"/>
    </w:r>
    <w:r>
      <w:rPr>
        <w:rStyle w:val="927"/>
      </w:rPr>
      <w:t xml:space="preserve">7</w:t>
    </w:r>
    <w:r>
      <w:fldChar w:fldCharType="end"/>
    </w:r>
    <w:r>
      <w:rPr>
        <w:rFonts w:hint="eastAsia"/>
      </w:rPr>
      <w:t xml:space="preserve">页共</w:t>
    </w:r>
    <w:r>
      <w:fldChar w:fldCharType="begin"/>
    </w:r>
    <w:r>
      <w:rPr>
        <w:rStyle w:val="927"/>
      </w:rPr>
      <w:instrText xml:space="preserve"> NUMPAGES </w:instrText>
    </w:r>
    <w:r>
      <w:fldChar w:fldCharType="separate"/>
    </w:r>
    <w:r>
      <w:rPr>
        <w:rStyle w:val="927"/>
      </w:rPr>
      <w:t xml:space="preserve">11</w:t>
    </w:r>
    <w:r>
      <w:fldChar w:fldCharType="end"/>
    </w:r>
    <w:r>
      <w:rPr>
        <w:rFonts w:hint="eastAsia"/>
      </w:rPr>
      <w:t xml:space="preserve">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wps:spPr bwMode="auto">
                      <a:xfrm>
                        <a:off x="0" y="0"/>
                        <a:ext cx="1664335" cy="218440"/>
                      </a:xfrm>
                      <a:prstGeom prst="rect">
                        <a:avLst/>
                      </a:prstGeom>
                      <a:ln>
                        <a:noFill/>
                      </a:ln>
                    </wps:spPr>
                    <wps:txbx>
                      <w:txbxContent>
                        <w:p>
                          <w:pPr>
                            <w:pStyle w:val="921"/>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vert="horz" wrap="square" lIns="0" tIns="0" rIns="0" bIns="0" anchor="t">
                      <a:noAutofit/>
                    </wps:bodyPr>
                  </wps:wsp>
                </a:graphicData>
              </a:graphic>
            </wp:anchor>
          </w:drawing>
        </mc:Choice>
        <mc:Fallback>
          <w:pict>
            <v:shape id="shape 4" o:spid="_x0000_s4" o:spt="1" type="#_x0000_t1" style="position:absolute;z-index:251662336;o:allowoverlap:true;o:allowincell:true;mso-position-horizontal-relative:margin;mso-position-horizontal:center;mso-position-vertical-relative:text;margin-top:0.0pt;mso-position-vertical:absolute;width:131.0pt;height:17.2pt;mso-wrap-distance-left:0.0pt;mso-wrap-distance-top:0.0pt;mso-wrap-distance-right:0.0pt;mso-wrap-distance-bottom:0.0pt;v-text-anchor:top;visibility:visible;" filled="f" stroked="f">
              <v:textbox inset="0,0,0,0">
                <w:txbxContent>
                  <w:p>
                    <w:pPr>
                      <w:pStyle w:val="921"/>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rFonts w:hint="eastAsia"/>
      </w:rPr>
      <w:t xml:space="preserve">第</w:t>
    </w:r>
    <w:r>
      <w:fldChar w:fldCharType="begin"/>
    </w:r>
    <w:r>
      <w:rPr>
        <w:rStyle w:val="927"/>
      </w:rPr>
      <w:instrText xml:space="preserve"> PAGE </w:instrText>
    </w:r>
    <w:r>
      <w:fldChar w:fldCharType="separate"/>
    </w:r>
    <w:r>
      <w:rPr>
        <w:rStyle w:val="927"/>
      </w:rPr>
      <w:t xml:space="preserve">7</w:t>
    </w:r>
    <w:r>
      <w:fldChar w:fldCharType="end"/>
    </w:r>
    <w:r>
      <w:rPr>
        <w:rFonts w:hint="eastAsia"/>
      </w:rPr>
      <w:t xml:space="preserve">页共</w:t>
    </w:r>
    <w:r>
      <w:fldChar w:fldCharType="begin"/>
    </w:r>
    <w:r>
      <w:rPr>
        <w:rStyle w:val="927"/>
      </w:rPr>
      <w:instrText xml:space="preserve"> NUMPAGES </w:instrText>
    </w:r>
    <w:r>
      <w:fldChar w:fldCharType="separate"/>
    </w:r>
    <w:r>
      <w:rPr>
        <w:rStyle w:val="927"/>
      </w:rPr>
      <w:t xml:space="preserve">11</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4"/>
    <w:link w:val="900"/>
    <w:uiPriority w:val="9"/>
    <w:rPr>
      <w:rFonts w:ascii="Arial" w:hAnsi="Arial" w:eastAsia="Arial" w:cs="Arial"/>
      <w:sz w:val="40"/>
      <w:szCs w:val="40"/>
    </w:rPr>
  </w:style>
  <w:style w:type="character" w:styleId="15">
    <w:name w:val="Heading 2 Char"/>
    <w:basedOn w:val="904"/>
    <w:link w:val="901"/>
    <w:uiPriority w:val="9"/>
    <w:rPr>
      <w:rFonts w:ascii="Arial" w:hAnsi="Arial" w:eastAsia="Arial" w:cs="Arial"/>
      <w:sz w:val="34"/>
    </w:rPr>
  </w:style>
  <w:style w:type="character" w:styleId="17">
    <w:name w:val="Heading 3 Char"/>
    <w:basedOn w:val="904"/>
    <w:link w:val="902"/>
    <w:uiPriority w:val="9"/>
    <w:rPr>
      <w:rFonts w:ascii="Arial" w:hAnsi="Arial" w:eastAsia="Arial" w:cs="Arial"/>
      <w:sz w:val="30"/>
      <w:szCs w:val="30"/>
    </w:rPr>
  </w:style>
  <w:style w:type="character" w:styleId="19">
    <w:name w:val="Heading 4 Char"/>
    <w:basedOn w:val="904"/>
    <w:link w:val="903"/>
    <w:uiPriority w:val="9"/>
    <w:rPr>
      <w:rFonts w:ascii="Arial" w:hAnsi="Arial" w:eastAsia="Arial" w:cs="Arial"/>
      <w:b/>
      <w:bCs/>
      <w:sz w:val="26"/>
      <w:szCs w:val="26"/>
    </w:rPr>
  </w:style>
  <w:style w:type="paragraph" w:styleId="20">
    <w:name w:val="Heading 5"/>
    <w:basedOn w:val="899"/>
    <w:next w:val="8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04"/>
    <w:link w:val="20"/>
    <w:uiPriority w:val="9"/>
    <w:rPr>
      <w:rFonts w:ascii="Arial" w:hAnsi="Arial" w:eastAsia="Arial" w:cs="Arial"/>
      <w:b/>
      <w:bCs/>
      <w:sz w:val="24"/>
      <w:szCs w:val="24"/>
    </w:rPr>
  </w:style>
  <w:style w:type="paragraph" w:styleId="22">
    <w:name w:val="Heading 6"/>
    <w:basedOn w:val="899"/>
    <w:next w:val="8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04"/>
    <w:link w:val="22"/>
    <w:uiPriority w:val="9"/>
    <w:rPr>
      <w:rFonts w:ascii="Arial" w:hAnsi="Arial" w:eastAsia="Arial" w:cs="Arial"/>
      <w:b/>
      <w:bCs/>
      <w:sz w:val="22"/>
      <w:szCs w:val="22"/>
    </w:rPr>
  </w:style>
  <w:style w:type="paragraph" w:styleId="24">
    <w:name w:val="Heading 7"/>
    <w:basedOn w:val="899"/>
    <w:next w:val="8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04"/>
    <w:link w:val="24"/>
    <w:uiPriority w:val="9"/>
    <w:rPr>
      <w:rFonts w:ascii="Arial" w:hAnsi="Arial" w:eastAsia="Arial" w:cs="Arial"/>
      <w:b/>
      <w:bCs/>
      <w:i/>
      <w:iCs/>
      <w:sz w:val="22"/>
      <w:szCs w:val="22"/>
    </w:rPr>
  </w:style>
  <w:style w:type="paragraph" w:styleId="26">
    <w:name w:val="Heading 8"/>
    <w:basedOn w:val="899"/>
    <w:next w:val="8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04"/>
    <w:link w:val="26"/>
    <w:uiPriority w:val="9"/>
    <w:rPr>
      <w:rFonts w:ascii="Arial" w:hAnsi="Arial" w:eastAsia="Arial" w:cs="Arial"/>
      <w:i/>
      <w:iCs/>
      <w:sz w:val="22"/>
      <w:szCs w:val="22"/>
    </w:rPr>
  </w:style>
  <w:style w:type="paragraph" w:styleId="28">
    <w:name w:val="Heading 9"/>
    <w:basedOn w:val="899"/>
    <w:next w:val="8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0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04"/>
    <w:link w:val="920"/>
    <w:uiPriority w:val="10"/>
    <w:rPr>
      <w:sz w:val="48"/>
      <w:szCs w:val="48"/>
    </w:rPr>
  </w:style>
  <w:style w:type="paragraph" w:styleId="35">
    <w:name w:val="Subtitle"/>
    <w:basedOn w:val="899"/>
    <w:next w:val="899"/>
    <w:link w:val="36"/>
    <w:uiPriority w:val="11"/>
    <w:qFormat/>
    <w:pPr>
      <w:spacing w:before="200" w:after="200"/>
    </w:pPr>
    <w:rPr>
      <w:sz w:val="24"/>
      <w:szCs w:val="24"/>
    </w:rPr>
  </w:style>
  <w:style w:type="character" w:styleId="36">
    <w:name w:val="Subtitle Char"/>
    <w:basedOn w:val="904"/>
    <w:link w:val="35"/>
    <w:uiPriority w:val="11"/>
    <w:rPr>
      <w:sz w:val="24"/>
      <w:szCs w:val="24"/>
    </w:rPr>
  </w:style>
  <w:style w:type="paragraph" w:styleId="37">
    <w:name w:val="Quote"/>
    <w:basedOn w:val="899"/>
    <w:next w:val="899"/>
    <w:link w:val="38"/>
    <w:uiPriority w:val="29"/>
    <w:qFormat/>
    <w:pPr>
      <w:ind w:left="720" w:right="720"/>
    </w:pPr>
    <w:rPr>
      <w:i/>
    </w:rPr>
  </w:style>
  <w:style w:type="character" w:styleId="38">
    <w:name w:val="Quote Char"/>
    <w:link w:val="37"/>
    <w:uiPriority w:val="29"/>
    <w:rPr>
      <w:i/>
    </w:rPr>
  </w:style>
  <w:style w:type="paragraph" w:styleId="39">
    <w:name w:val="Intense Quote"/>
    <w:basedOn w:val="899"/>
    <w:next w:val="8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04"/>
    <w:link w:val="915"/>
    <w:uiPriority w:val="99"/>
  </w:style>
  <w:style w:type="character" w:styleId="44">
    <w:name w:val="Footer Char"/>
    <w:basedOn w:val="904"/>
    <w:link w:val="914"/>
    <w:uiPriority w:val="99"/>
  </w:style>
  <w:style w:type="paragraph" w:styleId="45">
    <w:name w:val="Caption"/>
    <w:basedOn w:val="899"/>
    <w:next w:val="899"/>
    <w:uiPriority w:val="35"/>
    <w:semiHidden/>
    <w:unhideWhenUsed/>
    <w:qFormat/>
    <w:pPr>
      <w:spacing w:line="276" w:lineRule="auto"/>
    </w:pPr>
    <w:rPr>
      <w:b/>
      <w:bCs/>
      <w:color w:val="4f81bd" w:themeColor="accent1"/>
      <w:sz w:val="18"/>
      <w:szCs w:val="18"/>
    </w:rPr>
  </w:style>
  <w:style w:type="character" w:styleId="46">
    <w:name w:val="Caption Char"/>
    <w:basedOn w:val="45"/>
    <w:link w:val="914"/>
    <w:uiPriority w:val="99"/>
  </w:style>
  <w:style w:type="table" w:styleId="48">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4"/>
    <w:uiPriority w:val="99"/>
    <w:unhideWhenUsed/>
    <w:rPr>
      <w:vertAlign w:val="superscript"/>
    </w:rPr>
  </w:style>
  <w:style w:type="paragraph" w:styleId="177">
    <w:name w:val="endnote text"/>
    <w:basedOn w:val="8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4"/>
    <w:uiPriority w:val="99"/>
    <w:semiHidden/>
    <w:unhideWhenUsed/>
    <w:rPr>
      <w:vertAlign w:val="superscript"/>
    </w:rPr>
  </w:style>
  <w:style w:type="paragraph" w:styleId="182">
    <w:name w:val="toc 3"/>
    <w:basedOn w:val="899"/>
    <w:next w:val="899"/>
    <w:uiPriority w:val="39"/>
    <w:unhideWhenUsed/>
    <w:pPr>
      <w:ind w:left="567" w:right="0" w:firstLine="0"/>
      <w:spacing w:after="57"/>
    </w:pPr>
  </w:style>
  <w:style w:type="paragraph" w:styleId="183">
    <w:name w:val="toc 4"/>
    <w:basedOn w:val="899"/>
    <w:next w:val="899"/>
    <w:uiPriority w:val="39"/>
    <w:unhideWhenUsed/>
    <w:pPr>
      <w:ind w:left="850" w:right="0" w:firstLine="0"/>
      <w:spacing w:after="57"/>
    </w:pPr>
  </w:style>
  <w:style w:type="paragraph" w:styleId="184">
    <w:name w:val="toc 5"/>
    <w:basedOn w:val="899"/>
    <w:next w:val="899"/>
    <w:uiPriority w:val="39"/>
    <w:unhideWhenUsed/>
    <w:pPr>
      <w:ind w:left="1134" w:right="0" w:firstLine="0"/>
      <w:spacing w:after="57"/>
    </w:pPr>
  </w:style>
  <w:style w:type="paragraph" w:styleId="185">
    <w:name w:val="toc 6"/>
    <w:basedOn w:val="899"/>
    <w:next w:val="899"/>
    <w:uiPriority w:val="39"/>
    <w:unhideWhenUsed/>
    <w:pPr>
      <w:ind w:left="1417" w:right="0" w:firstLine="0"/>
      <w:spacing w:after="57"/>
    </w:pPr>
  </w:style>
  <w:style w:type="paragraph" w:styleId="187">
    <w:name w:val="toc 8"/>
    <w:basedOn w:val="899"/>
    <w:next w:val="899"/>
    <w:uiPriority w:val="39"/>
    <w:unhideWhenUsed/>
    <w:pPr>
      <w:ind w:left="1984" w:right="0" w:firstLine="0"/>
      <w:spacing w:after="57"/>
    </w:pPr>
  </w:style>
  <w:style w:type="paragraph" w:styleId="188">
    <w:name w:val="toc 9"/>
    <w:basedOn w:val="899"/>
    <w:next w:val="8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9"/>
    <w:next w:val="899"/>
    <w:uiPriority w:val="99"/>
    <w:unhideWhenUsed/>
    <w:pPr>
      <w:spacing w:after="0" w:afterAutospacing="0"/>
    </w:pPr>
  </w:style>
  <w:style w:type="paragraph" w:styleId="89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00">
    <w:name w:val="Heading 1"/>
    <w:basedOn w:val="899"/>
    <w:next w:val="899"/>
    <w:uiPriority w:val="0"/>
    <w:qFormat/>
    <w:pPr>
      <w:keepNext/>
      <w:outlineLvl w:val="0"/>
    </w:pPr>
    <w:rPr>
      <w:rFonts w:ascii="楷体_GB2312" w:hAnsi="Times New Roman" w:eastAsia="楷体_GB2312"/>
      <w:sz w:val="28"/>
      <w:szCs w:val="20"/>
    </w:rPr>
  </w:style>
  <w:style w:type="paragraph" w:styleId="901">
    <w:name w:val="Heading 2"/>
    <w:basedOn w:val="899"/>
    <w:next w:val="906"/>
    <w:uiPriority w:val="0"/>
    <w:qFormat/>
    <w:pPr>
      <w:jc w:val="center"/>
      <w:keepLines/>
      <w:keepNext/>
      <w:spacing w:before="260" w:after="260" w:line="416" w:lineRule="auto"/>
      <w:outlineLvl w:val="1"/>
    </w:pPr>
    <w:rPr>
      <w:rFonts w:ascii="Arial" w:hAnsi="Arial" w:eastAsia="幼圆"/>
      <w:b/>
      <w:sz w:val="44"/>
      <w:szCs w:val="20"/>
    </w:rPr>
  </w:style>
  <w:style w:type="paragraph" w:styleId="902">
    <w:name w:val="Heading 3"/>
    <w:basedOn w:val="899"/>
    <w:next w:val="899"/>
    <w:uiPriority w:val="9"/>
    <w:unhideWhenUsed/>
    <w:qFormat/>
    <w:pPr>
      <w:keepLines/>
      <w:keepNext/>
      <w:spacing w:before="320" w:after="200"/>
      <w:outlineLvl w:val="2"/>
    </w:pPr>
    <w:rPr>
      <w:rFonts w:ascii="Arial" w:hAnsi="Arial" w:eastAsia="Arial" w:cs="Arial"/>
      <w:sz w:val="30"/>
      <w:szCs w:val="30"/>
    </w:rPr>
  </w:style>
  <w:style w:type="paragraph" w:styleId="903">
    <w:name w:val="Heading 4"/>
    <w:basedOn w:val="899"/>
    <w:next w:val="899"/>
    <w:uiPriority w:val="9"/>
    <w:unhideWhenUsed/>
    <w:qFormat/>
    <w:pPr>
      <w:keepLines/>
      <w:keepNext/>
      <w:spacing w:before="50" w:after="50"/>
      <w:outlineLvl w:val="3"/>
    </w:pPr>
    <w:rPr>
      <w:rFonts w:ascii="Arial" w:hAnsi="Arial" w:eastAsia="Arial" w:cs="Arial"/>
      <w:b/>
      <w:bCs/>
      <w:szCs w:val="26"/>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Normal Indent"/>
    <w:basedOn w:val="899"/>
    <w:uiPriority w:val="0"/>
    <w:qFormat/>
    <w:pPr>
      <w:ind w:firstLine="420"/>
    </w:pPr>
    <w:rPr>
      <w:rFonts w:ascii="Times New Roman" w:hAnsi="Times New Roman"/>
      <w:szCs w:val="20"/>
    </w:rPr>
  </w:style>
  <w:style w:type="paragraph" w:styleId="907">
    <w:name w:val="toc 7"/>
    <w:basedOn w:val="899"/>
    <w:next w:val="899"/>
    <w:uiPriority w:val="0"/>
    <w:qFormat/>
    <w:pPr>
      <w:ind w:left="2520"/>
    </w:pPr>
  </w:style>
  <w:style w:type="paragraph" w:styleId="908">
    <w:name w:val="Body Text"/>
    <w:basedOn w:val="899"/>
    <w:link w:val="946"/>
    <w:uiPriority w:val="0"/>
    <w:qFormat/>
    <w:rPr>
      <w:rFonts w:ascii="楷体_GB2312" w:hAnsi="Arial" w:eastAsia="楷体_GB2312"/>
      <w:sz w:val="28"/>
      <w:szCs w:val="20"/>
    </w:rPr>
  </w:style>
  <w:style w:type="paragraph" w:styleId="909">
    <w:name w:val="Body Text Indent"/>
    <w:basedOn w:val="899"/>
    <w:next w:val="910"/>
    <w:link w:val="945"/>
    <w:uiPriority w:val="0"/>
    <w:qFormat/>
    <w:pPr>
      <w:ind w:firstLine="645"/>
    </w:pPr>
    <w:rPr>
      <w:rFonts w:ascii="楷体_GB2312" w:hAnsi="Times New Roman" w:eastAsia="楷体_GB2312"/>
      <w:sz w:val="32"/>
      <w:szCs w:val="20"/>
    </w:rPr>
  </w:style>
  <w:style w:type="paragraph" w:styleId="910">
    <w:name w:val="envelope return"/>
    <w:basedOn w:val="899"/>
    <w:uiPriority w:val="99"/>
    <w:unhideWhenUsed/>
    <w:qFormat/>
    <w:rPr>
      <w:rFonts w:ascii="Arial" w:hAnsi="Arial"/>
    </w:rPr>
  </w:style>
  <w:style w:type="paragraph" w:styleId="911">
    <w:name w:val="Block Text"/>
    <w:basedOn w:val="899"/>
    <w:uiPriority w:val="0"/>
    <w:qFormat/>
    <w:rPr>
      <w:rFonts w:eastAsia="微软雅黑"/>
    </w:rPr>
  </w:style>
  <w:style w:type="paragraph" w:styleId="912">
    <w:name w:val="index 4"/>
    <w:basedOn w:val="899"/>
    <w:next w:val="899"/>
    <w:uiPriority w:val="99"/>
    <w:unhideWhenUsed/>
    <w:qFormat/>
    <w:pPr>
      <w:ind w:left="1320"/>
    </w:pPr>
  </w:style>
  <w:style w:type="paragraph" w:styleId="913">
    <w:name w:val="Plain Text"/>
    <w:basedOn w:val="899"/>
    <w:next w:val="906"/>
    <w:link w:val="948"/>
    <w:uiPriority w:val="99"/>
    <w:qFormat/>
    <w:rPr>
      <w:rFonts w:ascii="宋体" w:hAnsi="Courier New"/>
      <w:szCs w:val="20"/>
    </w:rPr>
  </w:style>
  <w:style w:type="paragraph" w:styleId="914">
    <w:name w:val="Footer"/>
    <w:basedOn w:val="899"/>
    <w:link w:val="949"/>
    <w:uiPriority w:val="0"/>
    <w:qFormat/>
    <w:pPr>
      <w:jc w:val="left"/>
      <w:tabs>
        <w:tab w:val="center" w:pos="4153" w:leader="none"/>
        <w:tab w:val="right" w:pos="8306" w:leader="none"/>
      </w:tabs>
    </w:pPr>
    <w:rPr>
      <w:rFonts w:ascii="Times New Roman" w:hAnsi="Times New Roman"/>
      <w:sz w:val="18"/>
      <w:szCs w:val="20"/>
    </w:rPr>
  </w:style>
  <w:style w:type="paragraph" w:styleId="915">
    <w:name w:val="Header"/>
    <w:basedOn w:val="899"/>
    <w:link w:val="931"/>
    <w:uiPriority w:val="0"/>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99"/>
    <w:next w:val="899"/>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17">
    <w:name w:val="toc 2"/>
    <w:basedOn w:val="899"/>
    <w:next w:val="899"/>
    <w:uiPriority w:val="39"/>
    <w:qFormat/>
    <w:pPr>
      <w:ind w:left="420" w:firstLine="200"/>
      <w:jc w:val="left"/>
    </w:pPr>
    <w:rPr>
      <w:rFonts w:eastAsia="仿宋"/>
      <w:sz w:val="28"/>
    </w:rPr>
  </w:style>
  <w:style w:type="paragraph" w:styleId="918">
    <w:name w:val="Body Text 2"/>
    <w:basedOn w:val="899"/>
    <w:uiPriority w:val="0"/>
    <w:qFormat/>
    <w:pPr>
      <w:spacing w:after="120" w:line="480" w:lineRule="auto"/>
    </w:pPr>
  </w:style>
  <w:style w:type="paragraph" w:styleId="919">
    <w:name w:val="Normal (Web)"/>
    <w:basedOn w:val="899"/>
    <w:uiPriority w:val="0"/>
    <w:qFormat/>
    <w:pPr>
      <w:ind w:left="0" w:right="0"/>
      <w:jc w:val="left"/>
      <w:spacing w:before="0" w:beforeAutospacing="1" w:after="0" w:afterAutospacing="1"/>
    </w:pPr>
    <w:rPr>
      <w:sz w:val="24"/>
      <w:lang w:val="en-US" w:eastAsia="zh-CN" w:bidi="ar"/>
    </w:rPr>
  </w:style>
  <w:style w:type="paragraph" w:styleId="920">
    <w:name w:val="Title"/>
    <w:basedOn w:val="899"/>
    <w:next w:val="899"/>
    <w:uiPriority w:val="0"/>
    <w:qFormat/>
    <w:pPr>
      <w:jc w:val="center"/>
      <w:spacing w:before="240" w:after="60"/>
      <w:outlineLvl w:val="0"/>
    </w:pPr>
    <w:rPr>
      <w:rFonts w:ascii="等线 Light" w:hAnsi="等线 Light"/>
      <w:b/>
      <w:bCs/>
      <w:sz w:val="32"/>
      <w:szCs w:val="32"/>
    </w:rPr>
  </w:style>
  <w:style w:type="paragraph" w:styleId="921">
    <w:name w:val="Body Text First Indent"/>
    <w:basedOn w:val="908"/>
    <w:next w:val="922"/>
    <w:uiPriority w:val="0"/>
    <w:qFormat/>
    <w:pPr>
      <w:ind w:firstLine="200"/>
      <w:spacing w:line="360" w:lineRule="auto"/>
    </w:pPr>
    <w:rPr>
      <w:rFonts w:ascii="仿宋_GB2312" w:eastAsia="仿宋_GB2312"/>
      <w:sz w:val="30"/>
      <w:szCs w:val="30"/>
    </w:rPr>
  </w:style>
  <w:style w:type="paragraph" w:styleId="922" w:customStyle="1">
    <w:name w:val="Comment Subject"/>
    <w:basedOn w:val="923"/>
    <w:next w:val="924"/>
    <w:uiPriority w:val="0"/>
    <w:qFormat/>
    <w:rPr>
      <w:rFonts w:ascii="Calibri" w:hAnsi="Calibri"/>
      <w:b/>
      <w:bCs/>
      <w:sz w:val="20"/>
      <w:lang w:eastAsia="en-US"/>
    </w:rPr>
  </w:style>
  <w:style w:type="paragraph" w:styleId="923" w:customStyle="1">
    <w:name w:val="Comment Text"/>
    <w:basedOn w:val="899"/>
    <w:uiPriority w:val="0"/>
    <w:unhideWhenUsed/>
    <w:qFormat/>
    <w:pPr>
      <w:jc w:val="left"/>
    </w:pPr>
  </w:style>
  <w:style w:type="paragraph" w:styleId="924" w:customStyle="1">
    <w:name w:val="Plain Text1"/>
    <w:basedOn w:val="899"/>
    <w:next w:val="907"/>
    <w:uiPriority w:val="0"/>
    <w:qFormat/>
    <w:pPr>
      <w:ind w:firstLine="3584"/>
      <w:spacing w:line="360" w:lineRule="auto"/>
    </w:pPr>
  </w:style>
  <w:style w:type="paragraph" w:styleId="925">
    <w:name w:val="Body Text First Indent 2"/>
    <w:basedOn w:val="909"/>
    <w:next w:val="899"/>
    <w:uiPriority w:val="0"/>
    <w:qFormat/>
    <w:pPr>
      <w:ind w:firstLine="420"/>
    </w:pPr>
    <w:rPr>
      <w:rFonts w:cs="宋体"/>
      <w:szCs w:val="21"/>
    </w:rPr>
  </w:style>
  <w:style w:type="table" w:styleId="926">
    <w:name w:val="Table Grid"/>
    <w:basedOn w:val="9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page number"/>
    <w:uiPriority w:val="0"/>
    <w:qFormat/>
    <w:rPr>
      <w:rFonts w:ascii="Times New Roman" w:hAnsi="Times New Roman" w:eastAsia="宋体" w:cs="Times New Roman"/>
    </w:rPr>
  </w:style>
  <w:style w:type="character" w:styleId="928">
    <w:name w:val="Hyperlink"/>
    <w:uiPriority w:val="99"/>
    <w:qFormat/>
    <w:rPr>
      <w:rFonts w:ascii="Times New Roman" w:hAnsi="Times New Roman" w:eastAsia="宋体" w:cs="Times New Roman"/>
      <w:color w:val="0000ff"/>
      <w:u w:val="single"/>
    </w:rPr>
  </w:style>
  <w:style w:type="paragraph" w:styleId="929" w:customStyle="1">
    <w:name w:val="Default"/>
    <w:next w:val="917"/>
    <w:uiPriority w:val="0"/>
    <w:qFormat/>
    <w:pPr>
      <w:widowControl w:val="off"/>
    </w:pPr>
    <w:rPr>
      <w:rFonts w:ascii="黑体" w:hAnsi="Times New Roman" w:eastAsia="黑体" w:cs="黑体"/>
      <w:color w:val="000000"/>
      <w:sz w:val="24"/>
      <w:szCs w:val="24"/>
      <w:lang w:val="en-US" w:eastAsia="zh-CN" w:bidi="ar-SA"/>
    </w:rPr>
  </w:style>
  <w:style w:type="paragraph" w:styleId="930" w:customStyle="1">
    <w:name w:val="Body text|1"/>
    <w:basedOn w:val="899"/>
    <w:uiPriority w:val="0"/>
    <w:qFormat/>
    <w:pPr>
      <w:ind w:firstLine="400"/>
      <w:spacing w:line="391" w:lineRule="auto"/>
    </w:pPr>
    <w:rPr>
      <w:rFonts w:ascii="宋体" w:hAnsi="宋体" w:cs="宋体"/>
      <w:sz w:val="26"/>
      <w:szCs w:val="26"/>
      <w:lang w:val="zh-TW" w:eastAsia="zh-TW" w:bidi="zh-TW"/>
    </w:rPr>
  </w:style>
  <w:style w:type="character" w:styleId="931" w:customStyle="1">
    <w:name w:val="页眉 字符"/>
    <w:basedOn w:val="904"/>
    <w:link w:val="915"/>
    <w:uiPriority w:val="0"/>
    <w:qFormat/>
    <w:rPr>
      <w:rFonts w:ascii="Calibri" w:hAnsi="Calibri" w:eastAsia="宋体" w:cs="Times New Roman"/>
      <w:sz w:val="18"/>
      <w:szCs w:val="18"/>
    </w:rPr>
  </w:style>
  <w:style w:type="paragraph" w:styleId="932" w:customStyle="1">
    <w:name w:val="普通正文"/>
    <w:basedOn w:val="899"/>
    <w:uiPriority w:val="0"/>
    <w:qFormat/>
    <w:pPr>
      <w:ind w:firstLine="482"/>
      <w:jc w:val="left"/>
      <w:spacing w:line="360" w:lineRule="auto"/>
    </w:pPr>
    <w:rPr>
      <w:rFonts w:ascii="Arial" w:hAnsi="Arial"/>
      <w:sz w:val="24"/>
    </w:rPr>
  </w:style>
  <w:style w:type="paragraph" w:styleId="933" w:customStyle="1">
    <w:name w:val="TOC 标题1"/>
    <w:basedOn w:val="900"/>
    <w:next w:val="89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34">
    <w:name w:val="List Paragraph"/>
    <w:basedOn w:val="899"/>
    <w:uiPriority w:val="34"/>
    <w:qFormat/>
    <w:pPr>
      <w:ind w:firstLine="420"/>
    </w:pPr>
  </w:style>
  <w:style w:type="paragraph" w:styleId="935" w:customStyle="1">
    <w:name w:val="目录 31"/>
    <w:basedOn w:val="899"/>
    <w:next w:val="899"/>
    <w:uiPriority w:val="0"/>
    <w:qFormat/>
    <w:pPr>
      <w:ind w:left="840"/>
    </w:pPr>
    <w:rPr>
      <w:lang w:eastAsia="en-US"/>
    </w:rPr>
  </w:style>
  <w:style w:type="paragraph" w:styleId="936" w:customStyle="1">
    <w:name w:val="标题 31"/>
    <w:basedOn w:val="899"/>
    <w:next w:val="899"/>
    <w:uiPriority w:val="0"/>
    <w:qFormat/>
    <w:pPr>
      <w:keepLines/>
      <w:keepNext/>
      <w:spacing w:before="260" w:after="260" w:line="413" w:lineRule="auto"/>
      <w:outlineLvl w:val="2"/>
    </w:pPr>
    <w:rPr>
      <w:b/>
      <w:sz w:val="32"/>
      <w:szCs w:val="20"/>
    </w:rPr>
  </w:style>
  <w:style w:type="paragraph" w:styleId="937" w:customStyle="1">
    <w:name w:val="sh4"/>
    <w:basedOn w:val="899"/>
    <w:uiPriority w:val="0"/>
    <w:qFormat/>
    <w:pPr>
      <w:ind w:firstLine="420"/>
      <w:spacing w:line="460" w:lineRule="exact"/>
    </w:pPr>
    <w:rPr>
      <w:rFonts w:ascii="宋体" w:hAnsi="宋体"/>
      <w:szCs w:val="21"/>
      <w:lang w:eastAsia="en-US"/>
    </w:rPr>
  </w:style>
  <w:style w:type="paragraph" w:styleId="938" w:customStyle="1">
    <w:name w:val="段"/>
    <w:next w:val="899"/>
    <w:uiPriority w:val="0"/>
    <w:qFormat/>
    <w:pPr>
      <w:ind w:firstLine="200"/>
      <w:jc w:val="both"/>
    </w:pPr>
    <w:rPr>
      <w:rFonts w:ascii="宋体" w:hAnsi="Times New Roman" w:eastAsia="宋体" w:cs="Times New Roman"/>
      <w:sz w:val="21"/>
      <w:szCs w:val="22"/>
      <w:lang w:val="en-US" w:eastAsia="zh-CN" w:bidi="ar-SA"/>
    </w:rPr>
  </w:style>
  <w:style w:type="paragraph" w:styleId="939" w:customStyle="1">
    <w:name w:val="Char"/>
    <w:basedOn w:val="899"/>
    <w:uiPriority w:val="0"/>
    <w:qFormat/>
    <w:pPr>
      <w:tabs>
        <w:tab w:val="left" w:pos="360" w:leader="none"/>
      </w:tabs>
    </w:pPr>
    <w:rPr>
      <w:rFonts w:ascii="Times New Roman" w:hAnsi="Times New Roman"/>
      <w:sz w:val="24"/>
    </w:rPr>
  </w:style>
  <w:style w:type="paragraph" w:styleId="940" w:customStyle="1">
    <w:name w:val="二级目录"/>
    <w:next w:val="899"/>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41" w:customStyle="1">
    <w:name w:val="简单回函地址"/>
    <w:basedOn w:val="899"/>
    <w:uiPriority w:val="0"/>
    <w:qFormat/>
    <w:rPr>
      <w:rFonts w:ascii="Times New Roman" w:hAnsi="Times New Roman" w:cs="宋体"/>
      <w:szCs w:val="21"/>
    </w:rPr>
  </w:style>
  <w:style w:type="paragraph" w:styleId="942" w:customStyle="1">
    <w:name w:val="索引 41"/>
    <w:basedOn w:val="899"/>
    <w:next w:val="899"/>
    <w:uiPriority w:val="0"/>
    <w:qFormat/>
    <w:pPr>
      <w:ind w:left="1260"/>
    </w:pPr>
  </w:style>
  <w:style w:type="paragraph" w:styleId="943" w:customStyle="1">
    <w:name w:val="普通(网站)1"/>
    <w:basedOn w:val="899"/>
    <w:uiPriority w:val="0"/>
    <w:qFormat/>
    <w:pPr>
      <w:jc w:val="left"/>
      <w:spacing w:before="100" w:beforeAutospacing="1" w:after="100" w:afterAutospacing="1"/>
    </w:pPr>
    <w:rPr>
      <w:sz w:val="24"/>
      <w:lang w:eastAsia="en-US"/>
    </w:rPr>
  </w:style>
  <w:style w:type="paragraph" w:styleId="944" w:customStyle="1">
    <w:name w:val="页脚11"/>
    <w:basedOn w:val="899"/>
    <w:uiPriority w:val="0"/>
    <w:qFormat/>
    <w:pPr>
      <w:jc w:val="left"/>
      <w:tabs>
        <w:tab w:val="center" w:pos="4153" w:leader="none"/>
        <w:tab w:val="right" w:pos="8306" w:leader="none"/>
      </w:tabs>
    </w:pPr>
    <w:rPr>
      <w:sz w:val="18"/>
      <w:szCs w:val="18"/>
      <w:lang w:eastAsia="en-US"/>
    </w:rPr>
  </w:style>
  <w:style w:type="character" w:styleId="945" w:customStyle="1">
    <w:name w:val="正文文本缩进 字符"/>
    <w:basedOn w:val="904"/>
    <w:link w:val="909"/>
    <w:uiPriority w:val="0"/>
    <w:qFormat/>
    <w:rPr>
      <w:rFonts w:hint="eastAsia" w:ascii="楷体_GB2312" w:hAnsi="Times New Roman" w:eastAsia="楷体_GB2312" w:cs="楷体_GB2312"/>
      <w:sz w:val="32"/>
    </w:rPr>
  </w:style>
  <w:style w:type="character" w:styleId="946" w:customStyle="1">
    <w:name w:val="正文文本 字符"/>
    <w:basedOn w:val="904"/>
    <w:link w:val="908"/>
    <w:uiPriority w:val="0"/>
    <w:qFormat/>
    <w:rPr>
      <w:sz w:val="21"/>
      <w:szCs w:val="24"/>
    </w:rPr>
  </w:style>
  <w:style w:type="character" w:styleId="947" w:customStyle="1">
    <w:name w:val="纯文本 字符"/>
    <w:basedOn w:val="904"/>
    <w:uiPriority w:val="0"/>
    <w:qFormat/>
    <w:rPr>
      <w:rFonts w:ascii="等线" w:hAnsi="Courier New" w:eastAsia="等线" w:cs="Courier New"/>
      <w:sz w:val="21"/>
      <w:szCs w:val="24"/>
    </w:rPr>
  </w:style>
  <w:style w:type="character" w:styleId="948" w:customStyle="1">
    <w:name w:val="纯文本 字符1"/>
    <w:basedOn w:val="904"/>
    <w:link w:val="913"/>
    <w:uiPriority w:val="0"/>
    <w:qFormat/>
    <w:rPr>
      <w:rFonts w:hint="eastAsia" w:ascii="宋体" w:hAnsi="Courier New" w:eastAsia="宋体" w:cs="宋体"/>
      <w:sz w:val="21"/>
    </w:rPr>
  </w:style>
  <w:style w:type="character" w:styleId="949" w:customStyle="1">
    <w:name w:val="页脚 字符1"/>
    <w:basedOn w:val="904"/>
    <w:link w:val="914"/>
    <w:uiPriority w:val="0"/>
    <w:qFormat/>
    <w:rPr>
      <w:sz w:val="18"/>
    </w:rPr>
  </w:style>
  <w:style w:type="character" w:styleId="950" w:customStyle="1">
    <w:name w:val="页脚 字符"/>
    <w:basedOn w:val="904"/>
    <w:uiPriority w:val="0"/>
    <w:qFormat/>
    <w:rPr>
      <w:rFonts w:hint="default" w:ascii="Calibri" w:hAnsi="Calibri" w:cs="Calibri"/>
      <w:sz w:val="18"/>
      <w:szCs w:val="18"/>
    </w:rPr>
  </w:style>
  <w:style w:type="paragraph" w:styleId="951" w:customStyle="1">
    <w:name w:val="正文文本首行缩进1"/>
    <w:next w:val="952"/>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952" w:customStyle="1">
    <w:name w:val="正文缩进11"/>
    <w:basedOn w:val="899"/>
    <w:next w:val="899"/>
    <w:uiPriority w:val="0"/>
    <w:qFormat/>
    <w:pPr>
      <w:ind w:firstLine="420"/>
      <w:jc w:val="left"/>
    </w:pPr>
    <w:rPr>
      <w:rFonts w:eastAsia="楷体_GB2312"/>
      <w:sz w:val="24"/>
      <w:lang w:eastAsia="en-US"/>
    </w:rPr>
  </w:style>
  <w:style w:type="paragraph" w:styleId="953" w:customStyle="1">
    <w:name w:val="msonospacing"/>
    <w:basedOn w:val="899"/>
    <w:uiPriority w:val="0"/>
    <w:qFormat/>
    <w:rPr>
      <w:szCs w:val="22"/>
    </w:rPr>
  </w:style>
  <w:style w:type="paragraph" w:styleId="954" w:customStyle="1">
    <w:name w:val="Table Paragraph"/>
    <w:basedOn w:val="899"/>
    <w:uiPriority w:val="1"/>
    <w:qFormat/>
    <w:rPr>
      <w:rFonts w:ascii="宋体" w:hAnsi="宋体" w:eastAsia="宋体" w:cs="宋体"/>
      <w:lang w:val="zh-CN" w:eastAsia="zh-CN" w:bidi="zh-CN"/>
    </w:rPr>
  </w:style>
  <w:style w:type="character" w:styleId="955" w:customStyle="1">
    <w:name w:val="font31"/>
    <w:basedOn w:val="904"/>
    <w:uiPriority w:val="0"/>
    <w:qFormat/>
    <w:rPr>
      <w:rFonts w:hint="eastAsia" w:ascii="宋体" w:hAnsi="宋体" w:eastAsia="宋体" w:cs="宋体"/>
      <w:color w:val="000000"/>
      <w:sz w:val="24"/>
      <w:szCs w:val="24"/>
      <w:u w:val="none"/>
    </w:rPr>
  </w:style>
  <w:style w:type="character" w:styleId="956" w:customStyle="1">
    <w:name w:val="font51"/>
    <w:basedOn w:val="904"/>
    <w:uiPriority w:val="0"/>
    <w:qFormat/>
    <w:rPr>
      <w:rFonts w:hint="eastAsia" w:ascii="宋体" w:hAnsi="宋体" w:eastAsia="宋体" w:cs="宋体"/>
      <w:color w:val="000000"/>
      <w:sz w:val="24"/>
      <w:szCs w:val="24"/>
      <w:u w:val="none"/>
    </w:rPr>
  </w:style>
  <w:style w:type="character" w:styleId="957" w:customStyle="1">
    <w:name w:val="font11"/>
    <w:basedOn w:val="904"/>
    <w:uiPriority w:val="0"/>
    <w:qFormat/>
    <w:rPr>
      <w:rFonts w:hint="eastAsia" w:ascii="宋体" w:hAnsi="宋体" w:eastAsia="宋体" w:cs="宋体"/>
      <w:b/>
      <w:bCs/>
      <w:color w:val="000000"/>
      <w:sz w:val="21"/>
      <w:szCs w:val="21"/>
      <w:u w:val="none"/>
    </w:rPr>
  </w:style>
  <w:style w:type="paragraph" w:styleId="958" w:customStyle="1">
    <w:name w:val="页眉1"/>
    <w:basedOn w:val="899"/>
    <w:uiPriority w:val="0"/>
    <w:unhideWhenUsed/>
    <w:qFormat/>
    <w:pPr>
      <w:jc w:val="center"/>
      <w:tabs>
        <w:tab w:val="center" w:pos="4153" w:leader="none"/>
        <w:tab w:val="right" w:pos="8306" w:leader="none"/>
      </w:tabs>
      <w:pBdr>
        <w:bottom w:val="single" w:color="000000" w:sz="6" w:space="1"/>
      </w:pBdr>
    </w:pPr>
    <w:rPr>
      <w:sz w:val="18"/>
    </w:rPr>
  </w:style>
  <w:style w:type="paragraph" w:styleId="959" w:customStyle="1">
    <w:name w:val="页脚1"/>
    <w:basedOn w:val="899"/>
    <w:uiPriority w:val="0"/>
    <w:unhideWhenUsed/>
    <w:qFormat/>
    <w:pPr>
      <w:jc w:val="left"/>
      <w:tabs>
        <w:tab w:val="center" w:pos="4153" w:leader="none"/>
        <w:tab w:val="right" w:pos="8306" w:leader="none"/>
      </w:tabs>
    </w:pPr>
    <w:rPr>
      <w:sz w:val="18"/>
    </w:rPr>
  </w:style>
  <w:style w:type="numbering" w:styleId="9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杨晶</cp:lastModifiedBy>
  <cp:revision>16</cp:revision>
  <dcterms:created xsi:type="dcterms:W3CDTF">2025-07-09T08:22:00Z</dcterms:created>
  <dcterms:modified xsi:type="dcterms:W3CDTF">2025-11-25T10:32:44Z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eyJoZGlkIjoiNTMzYjdkNmRlNGQzNmUxNjBiODA2NzQ5MmY5MjJlMTUiLCJ1c2VySWQiOiI0OTA3MzQ5MDEifQ==</vt:lpwstr>
  </property>
  <property fmtid="{D5CDD505-2E9C-101B-9397-08002B2CF9AE}" pid="4" name="ICV">
    <vt:lpwstr>0623EDD58B8244CA86C1321562C39684_13</vt:lpwstr>
  </property>
</Properties>
</file>